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A4DD1" w14:textId="6DD61E4F" w:rsidR="00B84DB8" w:rsidRPr="00097066" w:rsidRDefault="00B84DB8" w:rsidP="00097066">
      <w:pPr>
        <w:ind w:left="0" w:firstLine="0"/>
        <w:jc w:val="center"/>
        <w:rPr>
          <w:b/>
          <w:bCs/>
          <w:sz w:val="24"/>
          <w:szCs w:val="24"/>
        </w:rPr>
      </w:pPr>
      <w:r w:rsidRPr="00097066">
        <w:rPr>
          <w:b/>
          <w:bCs/>
          <w:sz w:val="24"/>
          <w:szCs w:val="24"/>
          <w:lang w:val="en-US"/>
        </w:rPr>
        <w:t xml:space="preserve">Pengaruh Penggunaan Metode </w:t>
      </w:r>
      <w:r w:rsidRPr="00097066">
        <w:rPr>
          <w:b/>
          <w:bCs/>
          <w:sz w:val="24"/>
          <w:szCs w:val="24"/>
        </w:rPr>
        <w:t>Risk Profile, Good Corporate</w:t>
      </w:r>
    </w:p>
    <w:p w14:paraId="516013BD" w14:textId="3FEA9448" w:rsidR="00B84DB8" w:rsidRPr="00097066" w:rsidRDefault="00B84DB8" w:rsidP="00097066">
      <w:pPr>
        <w:ind w:left="0" w:firstLine="0"/>
        <w:jc w:val="center"/>
        <w:rPr>
          <w:b/>
          <w:bCs/>
          <w:iCs/>
          <w:sz w:val="24"/>
          <w:szCs w:val="24"/>
        </w:rPr>
      </w:pPr>
      <w:r w:rsidRPr="00097066">
        <w:rPr>
          <w:b/>
          <w:bCs/>
          <w:sz w:val="24"/>
          <w:szCs w:val="24"/>
        </w:rPr>
        <w:t xml:space="preserve">Governance, Earning, </w:t>
      </w:r>
      <w:r w:rsidRPr="00097066">
        <w:rPr>
          <w:b/>
          <w:bCs/>
          <w:iCs/>
          <w:sz w:val="24"/>
          <w:szCs w:val="24"/>
        </w:rPr>
        <w:t>Dan</w:t>
      </w:r>
      <w:r w:rsidRPr="00097066">
        <w:rPr>
          <w:b/>
          <w:bCs/>
          <w:sz w:val="24"/>
          <w:szCs w:val="24"/>
        </w:rPr>
        <w:t xml:space="preserve"> Capital </w:t>
      </w:r>
      <w:r w:rsidRPr="00097066">
        <w:rPr>
          <w:b/>
          <w:bCs/>
          <w:iCs/>
          <w:sz w:val="24"/>
          <w:szCs w:val="24"/>
        </w:rPr>
        <w:t>Terhadap Tingkat</w:t>
      </w:r>
    </w:p>
    <w:p w14:paraId="3DEC44A4" w14:textId="4B607DDD" w:rsidR="00B84DB8" w:rsidRPr="00097066" w:rsidRDefault="00B84DB8" w:rsidP="00097066">
      <w:pPr>
        <w:ind w:left="0" w:firstLine="0"/>
        <w:jc w:val="center"/>
        <w:rPr>
          <w:iCs/>
          <w:sz w:val="24"/>
          <w:szCs w:val="24"/>
        </w:rPr>
      </w:pPr>
      <w:r w:rsidRPr="00097066">
        <w:rPr>
          <w:b/>
          <w:bCs/>
          <w:iCs/>
          <w:sz w:val="24"/>
          <w:szCs w:val="24"/>
        </w:rPr>
        <w:t>Kesehatan Bank</w:t>
      </w:r>
    </w:p>
    <w:p w14:paraId="24562B2E" w14:textId="77777777" w:rsidR="005155C9" w:rsidRPr="00097066" w:rsidRDefault="005155C9" w:rsidP="00097066">
      <w:pPr>
        <w:ind w:left="0" w:firstLine="0"/>
        <w:rPr>
          <w:b/>
          <w:sz w:val="24"/>
          <w:szCs w:val="24"/>
        </w:rPr>
      </w:pPr>
    </w:p>
    <w:p w14:paraId="18C33E15" w14:textId="2F0F3CE5" w:rsidR="00DC32DF" w:rsidRPr="00097066" w:rsidRDefault="00B84DB8" w:rsidP="00097066">
      <w:pPr>
        <w:ind w:left="0" w:firstLine="0"/>
        <w:jc w:val="center"/>
        <w:rPr>
          <w:b/>
          <w:sz w:val="24"/>
          <w:szCs w:val="24"/>
        </w:rPr>
      </w:pPr>
      <w:r w:rsidRPr="00097066">
        <w:rPr>
          <w:b/>
          <w:sz w:val="24"/>
          <w:szCs w:val="24"/>
        </w:rPr>
        <w:t>Reza Setiawan</w:t>
      </w:r>
      <w:r w:rsidR="00DC32DF" w:rsidRPr="00097066">
        <w:rPr>
          <w:b/>
          <w:sz w:val="24"/>
          <w:szCs w:val="24"/>
          <w:vertAlign w:val="superscript"/>
        </w:rPr>
        <w:t>1</w:t>
      </w:r>
      <w:r w:rsidR="00DC32DF" w:rsidRPr="00097066">
        <w:rPr>
          <w:b/>
          <w:sz w:val="24"/>
          <w:szCs w:val="24"/>
        </w:rPr>
        <w:t>, Nur Rahmanti Ratih</w:t>
      </w:r>
      <w:r w:rsidR="00DC32DF" w:rsidRPr="00097066">
        <w:rPr>
          <w:b/>
          <w:sz w:val="24"/>
          <w:szCs w:val="24"/>
          <w:vertAlign w:val="superscript"/>
        </w:rPr>
        <w:t>2</w:t>
      </w:r>
      <w:r w:rsidR="00DC32DF" w:rsidRPr="00097066">
        <w:rPr>
          <w:b/>
          <w:sz w:val="24"/>
          <w:szCs w:val="24"/>
        </w:rPr>
        <w:t>, Miladiah Kusumaningarti</w:t>
      </w:r>
      <w:r w:rsidR="00DC32DF" w:rsidRPr="00097066">
        <w:rPr>
          <w:b/>
          <w:sz w:val="24"/>
          <w:szCs w:val="24"/>
          <w:vertAlign w:val="superscript"/>
        </w:rPr>
        <w:t>3</w:t>
      </w:r>
    </w:p>
    <w:p w14:paraId="15317237" w14:textId="77777777" w:rsidR="005155C9" w:rsidRPr="00097066" w:rsidRDefault="005155C9" w:rsidP="00097066">
      <w:pPr>
        <w:ind w:left="0" w:firstLine="0"/>
        <w:jc w:val="center"/>
        <w:rPr>
          <w:sz w:val="24"/>
          <w:szCs w:val="24"/>
        </w:rPr>
      </w:pPr>
    </w:p>
    <w:p w14:paraId="24F75F81" w14:textId="77777777" w:rsidR="00500ED7" w:rsidRPr="00097066" w:rsidRDefault="00DC32DF" w:rsidP="00097066">
      <w:pPr>
        <w:ind w:left="0" w:firstLine="0"/>
        <w:jc w:val="center"/>
        <w:rPr>
          <w:sz w:val="24"/>
          <w:szCs w:val="24"/>
        </w:rPr>
      </w:pPr>
      <w:r w:rsidRPr="00097066">
        <w:rPr>
          <w:sz w:val="24"/>
          <w:szCs w:val="24"/>
          <w:vertAlign w:val="superscript"/>
        </w:rPr>
        <w:t>1,2,3</w:t>
      </w:r>
      <w:r w:rsidRPr="00097066">
        <w:rPr>
          <w:sz w:val="24"/>
          <w:szCs w:val="24"/>
        </w:rPr>
        <w:t xml:space="preserve"> Universitas Islam Kadiri</w:t>
      </w:r>
    </w:p>
    <w:p w14:paraId="4117A231" w14:textId="77777777" w:rsidR="00DC32DF" w:rsidRPr="00DC32DF" w:rsidRDefault="00DC32DF" w:rsidP="00E74D48">
      <w:pPr>
        <w:ind w:left="0" w:firstLine="0"/>
        <w:jc w:val="center"/>
        <w:rPr>
          <w:sz w:val="24"/>
          <w:szCs w:val="24"/>
        </w:rPr>
      </w:pPr>
    </w:p>
    <w:tbl>
      <w:tblPr>
        <w:tblStyle w:val="a"/>
        <w:tblW w:w="7829"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59"/>
        <w:gridCol w:w="1276"/>
        <w:gridCol w:w="5594"/>
      </w:tblGrid>
      <w:tr w:rsidR="00500ED7" w:rsidRPr="00097066" w14:paraId="5B1F7A24" w14:textId="77777777" w:rsidTr="00097066">
        <w:tc>
          <w:tcPr>
            <w:tcW w:w="2235" w:type="dxa"/>
            <w:gridSpan w:val="2"/>
          </w:tcPr>
          <w:p w14:paraId="42B612D5" w14:textId="77777777" w:rsidR="00500ED7" w:rsidRPr="00097066" w:rsidRDefault="00500ED7" w:rsidP="00097066">
            <w:pPr>
              <w:ind w:left="0" w:firstLine="0"/>
              <w:jc w:val="left"/>
              <w:rPr>
                <w:sz w:val="18"/>
                <w:szCs w:val="18"/>
              </w:rPr>
            </w:pPr>
          </w:p>
        </w:tc>
        <w:tc>
          <w:tcPr>
            <w:tcW w:w="5594" w:type="dxa"/>
          </w:tcPr>
          <w:p w14:paraId="5DFD57D5" w14:textId="77777777" w:rsidR="00500ED7" w:rsidRPr="00097066" w:rsidRDefault="008626B9" w:rsidP="00097066">
            <w:pPr>
              <w:ind w:left="0" w:firstLine="0"/>
              <w:rPr>
                <w:b/>
                <w:sz w:val="18"/>
                <w:szCs w:val="18"/>
                <w:lang w:val="en-US"/>
              </w:rPr>
            </w:pPr>
            <w:r w:rsidRPr="00097066">
              <w:rPr>
                <w:b/>
                <w:sz w:val="18"/>
                <w:szCs w:val="18"/>
              </w:rPr>
              <w:t>Abstra</w:t>
            </w:r>
            <w:r w:rsidR="00C66385" w:rsidRPr="00097066">
              <w:rPr>
                <w:b/>
                <w:sz w:val="18"/>
                <w:szCs w:val="18"/>
                <w:lang w:val="en-US"/>
              </w:rPr>
              <w:t>k</w:t>
            </w:r>
          </w:p>
        </w:tc>
      </w:tr>
      <w:tr w:rsidR="00500ED7" w:rsidRPr="00097066" w14:paraId="207112BB" w14:textId="77777777" w:rsidTr="00097066">
        <w:tc>
          <w:tcPr>
            <w:tcW w:w="959" w:type="dxa"/>
          </w:tcPr>
          <w:p w14:paraId="619DA944" w14:textId="77777777" w:rsidR="00500ED7" w:rsidRPr="00097066" w:rsidRDefault="008626B9" w:rsidP="00097066">
            <w:pPr>
              <w:ind w:left="0" w:firstLine="0"/>
              <w:jc w:val="left"/>
              <w:rPr>
                <w:sz w:val="18"/>
                <w:szCs w:val="18"/>
              </w:rPr>
            </w:pPr>
            <w:r w:rsidRPr="00097066">
              <w:rPr>
                <w:sz w:val="18"/>
                <w:szCs w:val="18"/>
              </w:rPr>
              <w:t>Received:</w:t>
            </w:r>
          </w:p>
          <w:p w14:paraId="78738F02" w14:textId="77777777" w:rsidR="00500ED7" w:rsidRPr="00097066" w:rsidRDefault="008626B9" w:rsidP="00097066">
            <w:pPr>
              <w:ind w:left="0" w:firstLine="0"/>
              <w:jc w:val="left"/>
              <w:rPr>
                <w:sz w:val="18"/>
                <w:szCs w:val="18"/>
              </w:rPr>
            </w:pPr>
            <w:r w:rsidRPr="00097066">
              <w:rPr>
                <w:sz w:val="18"/>
                <w:szCs w:val="18"/>
              </w:rPr>
              <w:t>Revised:</w:t>
            </w:r>
          </w:p>
          <w:p w14:paraId="044242DB" w14:textId="77777777" w:rsidR="00500ED7" w:rsidRPr="00097066" w:rsidRDefault="008626B9" w:rsidP="00097066">
            <w:pPr>
              <w:ind w:left="0" w:firstLine="0"/>
              <w:jc w:val="left"/>
              <w:rPr>
                <w:sz w:val="18"/>
                <w:szCs w:val="18"/>
              </w:rPr>
            </w:pPr>
            <w:r w:rsidRPr="00097066">
              <w:rPr>
                <w:sz w:val="18"/>
                <w:szCs w:val="18"/>
              </w:rPr>
              <w:t>Accepted:</w:t>
            </w:r>
          </w:p>
        </w:tc>
        <w:tc>
          <w:tcPr>
            <w:tcW w:w="1276" w:type="dxa"/>
          </w:tcPr>
          <w:p w14:paraId="7D0B7A3C" w14:textId="5FFAD4D5" w:rsidR="00500ED7" w:rsidRDefault="008B14DC" w:rsidP="00097066">
            <w:pPr>
              <w:ind w:left="0" w:firstLine="0"/>
              <w:jc w:val="left"/>
              <w:rPr>
                <w:sz w:val="18"/>
                <w:szCs w:val="18"/>
              </w:rPr>
            </w:pPr>
            <w:r>
              <w:rPr>
                <w:sz w:val="18"/>
                <w:szCs w:val="18"/>
              </w:rPr>
              <w:t>07 Juni 2024</w:t>
            </w:r>
          </w:p>
          <w:p w14:paraId="58474147" w14:textId="55C58F46" w:rsidR="008B14DC" w:rsidRDefault="008B14DC" w:rsidP="00097066">
            <w:pPr>
              <w:ind w:left="0" w:firstLine="0"/>
              <w:jc w:val="left"/>
              <w:rPr>
                <w:sz w:val="18"/>
                <w:szCs w:val="18"/>
              </w:rPr>
            </w:pPr>
            <w:r>
              <w:rPr>
                <w:sz w:val="18"/>
                <w:szCs w:val="18"/>
              </w:rPr>
              <w:t>12 Juni 2024</w:t>
            </w:r>
          </w:p>
          <w:p w14:paraId="4BCD5A84" w14:textId="052E15D0" w:rsidR="008B14DC" w:rsidRPr="00097066" w:rsidRDefault="008B14DC" w:rsidP="00097066">
            <w:pPr>
              <w:ind w:left="0" w:firstLine="0"/>
              <w:jc w:val="left"/>
              <w:rPr>
                <w:sz w:val="18"/>
                <w:szCs w:val="18"/>
              </w:rPr>
            </w:pPr>
            <w:r>
              <w:rPr>
                <w:sz w:val="18"/>
                <w:szCs w:val="18"/>
              </w:rPr>
              <w:t>20 Juni 2024</w:t>
            </w:r>
          </w:p>
          <w:p w14:paraId="3C5D5638" w14:textId="77777777" w:rsidR="00500ED7" w:rsidRPr="00097066" w:rsidRDefault="00500ED7" w:rsidP="00097066">
            <w:pPr>
              <w:ind w:left="0" w:firstLine="0"/>
              <w:jc w:val="left"/>
              <w:rPr>
                <w:sz w:val="18"/>
                <w:szCs w:val="18"/>
              </w:rPr>
            </w:pPr>
          </w:p>
          <w:p w14:paraId="63C17716" w14:textId="77777777" w:rsidR="00500ED7" w:rsidRPr="00097066" w:rsidRDefault="00500ED7" w:rsidP="00097066">
            <w:pPr>
              <w:ind w:left="0" w:firstLine="0"/>
              <w:jc w:val="left"/>
              <w:rPr>
                <w:sz w:val="18"/>
                <w:szCs w:val="18"/>
              </w:rPr>
            </w:pPr>
          </w:p>
        </w:tc>
        <w:tc>
          <w:tcPr>
            <w:tcW w:w="5594" w:type="dxa"/>
          </w:tcPr>
          <w:p w14:paraId="48CAA036" w14:textId="20309DAB" w:rsidR="00500ED7" w:rsidRPr="00097066" w:rsidRDefault="0045192F" w:rsidP="00097066">
            <w:pPr>
              <w:ind w:left="0" w:firstLine="0"/>
              <w:rPr>
                <w:i/>
                <w:sz w:val="18"/>
                <w:szCs w:val="18"/>
                <w:lang w:val="en-US"/>
              </w:rPr>
            </w:pPr>
            <w:bookmarkStart w:id="0" w:name="_Hlk147167077"/>
            <w:r w:rsidRPr="00097066">
              <w:rPr>
                <w:i/>
                <w:sz w:val="18"/>
                <w:szCs w:val="18"/>
              </w:rPr>
              <w:t xml:space="preserve">Evaluasi kondisi bank berdasarkan risiko dan kinerja menghasilkan tingkat kesehatan bank. Tujuan penelitian ini adalah untuk memastikan dampak profil risiko, tata kelola perusahaan yang sehat, pendapatan, dan permodalan terhadap </w:t>
            </w:r>
            <w:r w:rsidRPr="00097066">
              <w:rPr>
                <w:i/>
                <w:sz w:val="18"/>
                <w:szCs w:val="18"/>
                <w:lang w:val="en-US"/>
              </w:rPr>
              <w:t>peringkat komposit</w:t>
            </w:r>
            <w:r w:rsidRPr="00097066">
              <w:rPr>
                <w:i/>
                <w:sz w:val="18"/>
                <w:szCs w:val="18"/>
              </w:rPr>
              <w:t xml:space="preserve"> kesehatan bank di lembaga keuangan yang terdaftar di Bursa Efek Indonesia antara tahun 2019 dan 2021. Sebelas perusahaan dipilih melalui penggunaan pendekatan purposive sampling. Analisis regresi linier berganda adalah metode yang digunakan untuk analisis. </w:t>
            </w:r>
            <w:r w:rsidR="00E71617" w:rsidRPr="00097066">
              <w:rPr>
                <w:i/>
                <w:sz w:val="18"/>
                <w:szCs w:val="18"/>
              </w:rPr>
              <w:t>Temuan analisis menunjukkan bahwa profil risiko memiliki dampak negatif dan tidak signifikan terhadap keadaan kesehatan bank, seperti halnya tata kelola perusahaan yang baik. Penghasilan memiliki dampak positif dan tidak signifikan, dan modal memiliki dampak negatif dan tidak signifikan. Pengoperasian bisnis juga dilihat oleh pihak luar dapat berdampak pada evaluasi status kesehatan bank.</w:t>
            </w:r>
            <w:r w:rsidR="00B84DB8" w:rsidRPr="00097066">
              <w:rPr>
                <w:i/>
                <w:sz w:val="18"/>
                <w:szCs w:val="18"/>
              </w:rPr>
              <w:t xml:space="preserve"> Pihak perusahaan harus memperhatikan segala variable yang mempengaruhi tingkat kesehatan bank seperti, aset, kredit yang diberikan, dan modal, alangkah baiknya diputar pada aktiva yang lebih produktif sehingga perusahaan dapat menggunakannya secara efisien.</w:t>
            </w:r>
            <w:bookmarkEnd w:id="0"/>
          </w:p>
        </w:tc>
      </w:tr>
      <w:tr w:rsidR="00500ED7" w:rsidRPr="00097066" w14:paraId="65864E55" w14:textId="77777777" w:rsidTr="00097066">
        <w:tc>
          <w:tcPr>
            <w:tcW w:w="2235" w:type="dxa"/>
            <w:gridSpan w:val="2"/>
          </w:tcPr>
          <w:p w14:paraId="2CE864FB" w14:textId="75BE0805" w:rsidR="00500ED7" w:rsidRPr="00097066" w:rsidRDefault="00097066" w:rsidP="00097066">
            <w:pPr>
              <w:ind w:left="0" w:firstLine="0"/>
              <w:rPr>
                <w:sz w:val="18"/>
                <w:szCs w:val="18"/>
              </w:rPr>
            </w:pPr>
            <w:r>
              <w:rPr>
                <w:b/>
                <w:sz w:val="18"/>
                <w:szCs w:val="18"/>
                <w:lang w:val="en-US"/>
              </w:rPr>
              <w:t xml:space="preserve">                      </w:t>
            </w:r>
            <w:r w:rsidR="00C66385" w:rsidRPr="00097066">
              <w:rPr>
                <w:b/>
                <w:sz w:val="18"/>
                <w:szCs w:val="18"/>
              </w:rPr>
              <w:t>Kata Kunci:</w:t>
            </w:r>
          </w:p>
        </w:tc>
        <w:tc>
          <w:tcPr>
            <w:tcW w:w="5594" w:type="dxa"/>
          </w:tcPr>
          <w:p w14:paraId="6A76AAE0" w14:textId="269C0AE5" w:rsidR="00500ED7" w:rsidRPr="00097066" w:rsidRDefault="00E74D48" w:rsidP="00097066">
            <w:pPr>
              <w:ind w:left="0" w:firstLine="0"/>
              <w:rPr>
                <w:i/>
                <w:sz w:val="18"/>
                <w:szCs w:val="18"/>
              </w:rPr>
            </w:pPr>
            <w:r w:rsidRPr="00097066">
              <w:rPr>
                <w:i/>
                <w:sz w:val="18"/>
                <w:szCs w:val="18"/>
              </w:rPr>
              <w:t>Risk Profile, Good Corporate Governance, Earning, Capital, Tingkat Kesehatan Bank</w:t>
            </w:r>
          </w:p>
        </w:tc>
      </w:tr>
      <w:tr w:rsidR="00500ED7" w:rsidRPr="00097066" w14:paraId="2F368F60" w14:textId="77777777" w:rsidTr="00097066">
        <w:tc>
          <w:tcPr>
            <w:tcW w:w="2235" w:type="dxa"/>
            <w:gridSpan w:val="2"/>
          </w:tcPr>
          <w:p w14:paraId="6C77EF7D" w14:textId="77777777" w:rsidR="00500ED7" w:rsidRPr="00097066" w:rsidRDefault="00500ED7" w:rsidP="00097066">
            <w:pPr>
              <w:ind w:left="0" w:firstLine="0"/>
              <w:jc w:val="left"/>
              <w:rPr>
                <w:sz w:val="18"/>
                <w:szCs w:val="18"/>
              </w:rPr>
            </w:pPr>
          </w:p>
        </w:tc>
        <w:tc>
          <w:tcPr>
            <w:tcW w:w="5594" w:type="dxa"/>
          </w:tcPr>
          <w:p w14:paraId="502B7BBB" w14:textId="77777777" w:rsidR="00500ED7" w:rsidRPr="00097066" w:rsidRDefault="00500ED7" w:rsidP="00097066">
            <w:pPr>
              <w:ind w:left="0" w:firstLine="0"/>
              <w:rPr>
                <w:sz w:val="18"/>
                <w:szCs w:val="18"/>
              </w:rPr>
            </w:pPr>
          </w:p>
        </w:tc>
      </w:tr>
      <w:tr w:rsidR="00500ED7" w:rsidRPr="00097066" w14:paraId="2017434D" w14:textId="77777777" w:rsidTr="00097066">
        <w:tc>
          <w:tcPr>
            <w:tcW w:w="2235" w:type="dxa"/>
            <w:gridSpan w:val="2"/>
          </w:tcPr>
          <w:p w14:paraId="5B271291" w14:textId="77777777" w:rsidR="00500ED7" w:rsidRPr="00097066" w:rsidRDefault="008626B9" w:rsidP="00097066">
            <w:pPr>
              <w:ind w:left="0" w:firstLine="0"/>
              <w:jc w:val="left"/>
              <w:rPr>
                <w:sz w:val="18"/>
                <w:szCs w:val="18"/>
              </w:rPr>
            </w:pPr>
            <w:r w:rsidRPr="00097066">
              <w:rPr>
                <w:sz w:val="18"/>
                <w:szCs w:val="18"/>
              </w:rPr>
              <w:t>(*) Corresponding Author:</w:t>
            </w:r>
          </w:p>
        </w:tc>
        <w:tc>
          <w:tcPr>
            <w:tcW w:w="5594" w:type="dxa"/>
          </w:tcPr>
          <w:p w14:paraId="715D3716" w14:textId="041D5E79" w:rsidR="00500ED7" w:rsidRPr="00097066" w:rsidRDefault="00000000" w:rsidP="00097066">
            <w:pPr>
              <w:ind w:left="0" w:firstLine="0"/>
              <w:rPr>
                <w:sz w:val="18"/>
                <w:szCs w:val="18"/>
                <w:lang w:val="en-US"/>
              </w:rPr>
            </w:pPr>
            <w:hyperlink r:id="rId9" w:history="1">
              <w:r w:rsidR="00181975" w:rsidRPr="00097066">
                <w:rPr>
                  <w:rStyle w:val="Hyperlink"/>
                  <w:sz w:val="18"/>
                  <w:szCs w:val="18"/>
                </w:rPr>
                <w:t>rrezasetiawan31@gmail.com</w:t>
              </w:r>
            </w:hyperlink>
          </w:p>
        </w:tc>
      </w:tr>
      <w:tr w:rsidR="00500ED7" w:rsidRPr="00097066" w14:paraId="6F3CCEEC" w14:textId="77777777" w:rsidTr="00097066">
        <w:tc>
          <w:tcPr>
            <w:tcW w:w="2235" w:type="dxa"/>
            <w:gridSpan w:val="2"/>
          </w:tcPr>
          <w:p w14:paraId="377DA1A3" w14:textId="77777777" w:rsidR="00500ED7" w:rsidRPr="00097066" w:rsidRDefault="00500ED7" w:rsidP="00097066">
            <w:pPr>
              <w:ind w:left="0" w:firstLine="0"/>
              <w:jc w:val="left"/>
              <w:rPr>
                <w:sz w:val="18"/>
                <w:szCs w:val="18"/>
              </w:rPr>
            </w:pPr>
          </w:p>
        </w:tc>
        <w:tc>
          <w:tcPr>
            <w:tcW w:w="5594" w:type="dxa"/>
          </w:tcPr>
          <w:p w14:paraId="69AEBAB0" w14:textId="77777777" w:rsidR="00500ED7" w:rsidRPr="00097066" w:rsidRDefault="00500ED7" w:rsidP="00097066">
            <w:pPr>
              <w:ind w:left="0" w:firstLine="0"/>
              <w:rPr>
                <w:sz w:val="18"/>
                <w:szCs w:val="18"/>
              </w:rPr>
            </w:pPr>
          </w:p>
        </w:tc>
      </w:tr>
      <w:tr w:rsidR="00500ED7" w:rsidRPr="00097066" w14:paraId="1308D688" w14:textId="77777777">
        <w:tc>
          <w:tcPr>
            <w:tcW w:w="7829" w:type="dxa"/>
            <w:gridSpan w:val="3"/>
          </w:tcPr>
          <w:p w14:paraId="0ADB1D89" w14:textId="7CC3A3D7" w:rsidR="00500ED7" w:rsidRPr="00097066" w:rsidRDefault="008626B9" w:rsidP="00097066">
            <w:pPr>
              <w:ind w:left="0" w:firstLine="0"/>
              <w:jc w:val="left"/>
              <w:rPr>
                <w:sz w:val="18"/>
                <w:szCs w:val="18"/>
              </w:rPr>
            </w:pPr>
            <w:r w:rsidRPr="00097066">
              <w:rPr>
                <w:b/>
                <w:sz w:val="18"/>
                <w:szCs w:val="18"/>
              </w:rPr>
              <w:t>How to Cite:</w:t>
            </w:r>
            <w:r w:rsidRPr="00097066">
              <w:rPr>
                <w:sz w:val="18"/>
                <w:szCs w:val="18"/>
              </w:rPr>
              <w:t xml:space="preserve"> </w:t>
            </w:r>
            <w:r w:rsidR="008B14DC" w:rsidRPr="008B14DC">
              <w:rPr>
                <w:sz w:val="18"/>
                <w:szCs w:val="18"/>
                <w:shd w:val="clear" w:color="auto" w:fill="FFFFFF"/>
              </w:rPr>
              <w:t>Setiawan, R., Ratih, N., &amp; Kusumaningarti, M. (2024). Pengaruh Penggunaan Metode Risk Profile, Good Corporate Governance, Earning, Dan Capital Terhadap Tingkat Kesehatan Bank. </w:t>
            </w:r>
            <w:r w:rsidR="008B14DC" w:rsidRPr="008B14DC">
              <w:rPr>
                <w:i/>
                <w:iCs/>
                <w:sz w:val="18"/>
                <w:szCs w:val="18"/>
                <w:shd w:val="clear" w:color="auto" w:fill="FFFFFF"/>
              </w:rPr>
              <w:t>Jurnal Ilmiah Wahana Pendidikan</w:t>
            </w:r>
            <w:r w:rsidR="008B14DC" w:rsidRPr="008B14DC">
              <w:rPr>
                <w:sz w:val="18"/>
                <w:szCs w:val="18"/>
                <w:shd w:val="clear" w:color="auto" w:fill="FFFFFF"/>
              </w:rPr>
              <w:t>, </w:t>
            </w:r>
            <w:r w:rsidR="008B14DC" w:rsidRPr="008B14DC">
              <w:rPr>
                <w:i/>
                <w:iCs/>
                <w:sz w:val="18"/>
                <w:szCs w:val="18"/>
                <w:shd w:val="clear" w:color="auto" w:fill="FFFFFF"/>
              </w:rPr>
              <w:t>10</w:t>
            </w:r>
            <w:r w:rsidR="008B14DC" w:rsidRPr="008B14DC">
              <w:rPr>
                <w:sz w:val="18"/>
                <w:szCs w:val="18"/>
                <w:shd w:val="clear" w:color="auto" w:fill="FFFFFF"/>
              </w:rPr>
              <w:t>(11), 700-708. https://doi.org/10.5281/zenodo.12803775</w:t>
            </w:r>
          </w:p>
        </w:tc>
      </w:tr>
    </w:tbl>
    <w:p w14:paraId="551AD701" w14:textId="77777777" w:rsidR="00500ED7" w:rsidRDefault="00500ED7" w:rsidP="00E74D48">
      <w:pPr>
        <w:ind w:left="0" w:firstLine="0"/>
      </w:pPr>
    </w:p>
    <w:p w14:paraId="6753BA4E" w14:textId="16468D46" w:rsidR="00C66385" w:rsidRPr="00097066" w:rsidRDefault="00C66385" w:rsidP="00097066">
      <w:pPr>
        <w:ind w:left="0" w:firstLine="0"/>
        <w:rPr>
          <w:b/>
          <w:sz w:val="24"/>
          <w:szCs w:val="24"/>
          <w:lang w:val="en-US"/>
        </w:rPr>
      </w:pPr>
      <w:bookmarkStart w:id="1" w:name="_heading=h.gjdgxs" w:colFirst="0" w:colLast="0"/>
      <w:bookmarkEnd w:id="1"/>
      <w:r w:rsidRPr="00097066">
        <w:rPr>
          <w:b/>
          <w:sz w:val="24"/>
          <w:szCs w:val="24"/>
        </w:rPr>
        <w:t>PENDAHULUAN</w:t>
      </w:r>
    </w:p>
    <w:p w14:paraId="2B6A85E7" w14:textId="77777777" w:rsidR="00E74D48" w:rsidRPr="00097066" w:rsidRDefault="00E74D48" w:rsidP="00097066">
      <w:pPr>
        <w:ind w:left="0" w:firstLine="709"/>
        <w:rPr>
          <w:sz w:val="24"/>
          <w:szCs w:val="24"/>
        </w:rPr>
      </w:pPr>
      <w:r w:rsidRPr="00097066">
        <w:rPr>
          <w:sz w:val="24"/>
          <w:szCs w:val="24"/>
        </w:rPr>
        <w:t xml:space="preserve">Bank adalah salah satu Lembaga keuangan yang paling berperan penting bagi keberlangsungan ekonomi di Indonesia. Dalam Undang-Undang Nomor 10 Tahun 1998 disebutkan bahwa bank adalah badan usaha yang menghimpun dana dari masyarakat dalam bentuk simpanan dan menyalurkannya kepada masyarakat dalam bentuk kredit dan atau bentuk-bentuk lainnya dalam rangka meningkatkan taraf hidup rakyat banyak. Definisi Bank dapat diartikan inti sektor keuangan karena bank dapat menjadi perantara antara masyarakat yang kelebihan dana dan masyarakat kekurangan dana, oleh karena itu kondisi bank yang sehat sangatlah penting bagi masyarakat. Adapun alasan memilih melakukan penelitian di perbankan karena </w:t>
      </w:r>
      <w:r w:rsidRPr="00097066">
        <w:rPr>
          <w:color w:val="202124"/>
          <w:sz w:val="24"/>
          <w:szCs w:val="24"/>
          <w:shd w:val="clear" w:color="auto" w:fill="FFFFFF"/>
        </w:rPr>
        <w:t>perusahaan </w:t>
      </w:r>
      <w:r w:rsidRPr="00097066">
        <w:rPr>
          <w:bCs/>
          <w:color w:val="202124"/>
          <w:sz w:val="24"/>
          <w:szCs w:val="24"/>
          <w:shd w:val="clear" w:color="auto" w:fill="FFFFFF"/>
        </w:rPr>
        <w:t>perbankan</w:t>
      </w:r>
      <w:r w:rsidRPr="00097066">
        <w:rPr>
          <w:color w:val="202124"/>
          <w:sz w:val="24"/>
          <w:szCs w:val="24"/>
          <w:shd w:val="clear" w:color="auto" w:fill="FFFFFF"/>
        </w:rPr>
        <w:t> memiliki spesifikasi yang berbeda dari perusahaan industri lainnya yaitu menghimpun dana dari masyarakat dalam bentuk simpanan dan menyalurkannya kembali dalam bentuk kredit.</w:t>
      </w:r>
      <w:r w:rsidRPr="00097066">
        <w:rPr>
          <w:sz w:val="24"/>
          <w:szCs w:val="24"/>
        </w:rPr>
        <w:t xml:space="preserve"> </w:t>
      </w:r>
    </w:p>
    <w:p w14:paraId="309FC96F" w14:textId="54209310" w:rsidR="00E74D48" w:rsidRPr="00097066" w:rsidRDefault="00E74D48" w:rsidP="00097066">
      <w:pPr>
        <w:ind w:left="0" w:firstLine="709"/>
        <w:rPr>
          <w:sz w:val="24"/>
          <w:szCs w:val="24"/>
        </w:rPr>
      </w:pPr>
      <w:r w:rsidRPr="00097066">
        <w:rPr>
          <w:iCs/>
          <w:sz w:val="24"/>
          <w:szCs w:val="24"/>
          <w:lang w:val="en-US"/>
        </w:rPr>
        <w:t xml:space="preserve">Menurut </w:t>
      </w:r>
      <w:r w:rsidRPr="00097066">
        <w:rPr>
          <w:iCs/>
          <w:sz w:val="24"/>
          <w:szCs w:val="24"/>
          <w:lang w:val="en-US"/>
        </w:rPr>
        <w:fldChar w:fldCharType="begin" w:fldLock="1"/>
      </w:r>
      <w:r w:rsidRPr="00097066">
        <w:rPr>
          <w:iCs/>
          <w:sz w:val="24"/>
          <w:szCs w:val="24"/>
          <w:lang w:val="en-US"/>
        </w:rPr>
        <w:instrText>ADDIN CSL_CITATION {"citationItems":[{"id":"ITEM-1","itemData":{"author":[{"dropping-particle":"","family":"Ikatan Bankir Indonesia","given":"","non-dropping-particle":"","parse-names":false,"suffix":""}],"edition":"Pertama","id":"ITEM-1","issued":{"date-parts":[["2016"]]},"publisher":"PT. Gramedia Pustaka Utama","publisher-place":"Jakarta","title":"Manajamen Kesehatan Bank Berbasis Risiko","type":"book"},"uris":["http://www.mendeley.com/documents/?uuid=afccd317-d153-481d-93e9-de9119b34cb6"]}],"mendeley":{"formattedCitation":"(Ikatan Bankir Indonesia, 2016)","plainTextFormattedCitation":"(Ikatan Bankir Indonesia, 2016)","previouslyFormattedCitation":"(Ikatan Bankir Indonesia, 2016)"},"properties":{"noteIndex":0},"schema":"https://github.com/citation-style-language/schema/raw/master/csl-citation.json"}</w:instrText>
      </w:r>
      <w:r w:rsidRPr="00097066">
        <w:rPr>
          <w:iCs/>
          <w:sz w:val="24"/>
          <w:szCs w:val="24"/>
          <w:lang w:val="en-US"/>
        </w:rPr>
        <w:fldChar w:fldCharType="separate"/>
      </w:r>
      <w:r w:rsidRPr="00097066">
        <w:rPr>
          <w:iCs/>
          <w:sz w:val="24"/>
          <w:szCs w:val="24"/>
          <w:lang w:val="en-US"/>
        </w:rPr>
        <w:t>(Ikatan Bankir Indonesia, 2016)</w:t>
      </w:r>
      <w:r w:rsidRPr="00097066">
        <w:rPr>
          <w:iCs/>
          <w:sz w:val="24"/>
          <w:szCs w:val="24"/>
          <w:lang w:val="en-US"/>
        </w:rPr>
        <w:fldChar w:fldCharType="end"/>
      </w:r>
      <w:r w:rsidRPr="00097066">
        <w:rPr>
          <w:iCs/>
          <w:sz w:val="24"/>
          <w:szCs w:val="24"/>
          <w:lang w:val="en-US"/>
        </w:rPr>
        <w:t xml:space="preserve"> menjelaskan bahwa tingkat kesehatan bank merupakan hasil penilaian atas berbagai aspek yang berpengaruh terhadap kondisi atau kinerja suatu bank. Penilaian tingkat kesehatan bank pada umumnya dinilai dengan menggunakan metode</w:t>
      </w:r>
      <w:r w:rsidR="00D719F8" w:rsidRPr="00097066">
        <w:rPr>
          <w:iCs/>
          <w:sz w:val="24"/>
          <w:szCs w:val="24"/>
        </w:rPr>
        <w:t xml:space="preserve"> </w:t>
      </w:r>
      <w:r w:rsidR="00D719F8" w:rsidRPr="00097066">
        <w:rPr>
          <w:i/>
          <w:sz w:val="24"/>
          <w:szCs w:val="24"/>
          <w:lang w:val="en-US"/>
        </w:rPr>
        <w:t>Capital, Asset, Management, Earning, Liquidity</w:t>
      </w:r>
      <w:r w:rsidR="00D719F8" w:rsidRPr="00097066">
        <w:rPr>
          <w:iCs/>
          <w:sz w:val="24"/>
          <w:szCs w:val="24"/>
          <w:lang w:val="en-US"/>
        </w:rPr>
        <w:t xml:space="preserve"> </w:t>
      </w:r>
      <w:r w:rsidR="00D719F8" w:rsidRPr="00097066">
        <w:rPr>
          <w:iCs/>
          <w:sz w:val="24"/>
          <w:szCs w:val="24"/>
        </w:rPr>
        <w:t>(</w:t>
      </w:r>
      <w:r w:rsidRPr="00097066">
        <w:rPr>
          <w:iCs/>
          <w:sz w:val="24"/>
          <w:szCs w:val="24"/>
          <w:lang w:val="en-US"/>
        </w:rPr>
        <w:t>CAMEL</w:t>
      </w:r>
      <w:r w:rsidR="00D719F8" w:rsidRPr="00097066">
        <w:rPr>
          <w:iCs/>
          <w:sz w:val="24"/>
          <w:szCs w:val="24"/>
        </w:rPr>
        <w:t>)</w:t>
      </w:r>
      <w:r w:rsidRPr="00097066">
        <w:rPr>
          <w:iCs/>
          <w:sz w:val="24"/>
          <w:szCs w:val="24"/>
          <w:lang w:val="en-US"/>
        </w:rPr>
        <w:t xml:space="preserve"> yang diatur </w:t>
      </w:r>
      <w:r w:rsidR="00E71617" w:rsidRPr="00097066">
        <w:rPr>
          <w:iCs/>
          <w:sz w:val="24"/>
          <w:szCs w:val="24"/>
          <w:lang w:val="en-US"/>
        </w:rPr>
        <w:t xml:space="preserve">dalam </w:t>
      </w:r>
      <w:r w:rsidRPr="00097066">
        <w:rPr>
          <w:iCs/>
          <w:sz w:val="24"/>
          <w:szCs w:val="24"/>
          <w:lang w:val="en-US"/>
        </w:rPr>
        <w:t xml:space="preserve">Surat Edaran Bank Indonesia </w:t>
      </w:r>
      <w:r w:rsidRPr="00097066">
        <w:rPr>
          <w:iCs/>
          <w:sz w:val="24"/>
          <w:szCs w:val="24"/>
          <w:lang w:val="en-US"/>
        </w:rPr>
        <w:lastRenderedPageBreak/>
        <w:t xml:space="preserve">Nomor 6/23/DPNP tanggal 31 Mei 2004. Akan tetapi, dengan adanya peran perbankan yang sangat </w:t>
      </w:r>
      <w:r w:rsidR="00E71617" w:rsidRPr="00097066">
        <w:rPr>
          <w:iCs/>
          <w:sz w:val="24"/>
          <w:szCs w:val="24"/>
          <w:lang w:val="en-US"/>
        </w:rPr>
        <w:t xml:space="preserve">penting </w:t>
      </w:r>
      <w:r w:rsidRPr="00097066">
        <w:rPr>
          <w:iCs/>
          <w:sz w:val="24"/>
          <w:szCs w:val="24"/>
          <w:lang w:val="en-US"/>
        </w:rPr>
        <w:t xml:space="preserve">bagi pertumbuhan ekonomi nasional serta demi menjaga stabilitas perekonomian negara, maka dilakukanlah penyempurnaan penilaian tingkat kesehatan bank dengan menggunakan metode </w:t>
      </w:r>
      <w:r w:rsidRPr="00097066">
        <w:rPr>
          <w:i/>
          <w:sz w:val="24"/>
          <w:szCs w:val="24"/>
          <w:lang w:val="en-US"/>
        </w:rPr>
        <w:t>Risk Profile, Good Corporate Governance, Earning, Capital</w:t>
      </w:r>
      <w:r w:rsidRPr="00097066">
        <w:rPr>
          <w:iCs/>
          <w:sz w:val="24"/>
          <w:szCs w:val="24"/>
          <w:lang w:val="en-US"/>
        </w:rPr>
        <w:t xml:space="preserve"> (RGEC) sesuai dengan Surat Edaran Bank Indonesia Nomor 13/24/DPNP tanggal 25 Oktober 2011. Metode RGEC adalah penilaian terhadap risiko inheren, atau kualitas penerapan manajemen risiko dalam operasional Bank. Pada penelitian ini ada beberapa faktor yang digunakan untuk menilai suatu tingkat kesehatan bank. </w:t>
      </w:r>
      <w:r w:rsidR="003D67CE" w:rsidRPr="00097066">
        <w:rPr>
          <w:sz w:val="24"/>
          <w:szCs w:val="24"/>
        </w:rPr>
        <w:t>Evaluasi kualitas penerapan manajemen risiko dalam operasional bank dilakukan terhadap delapan (delapan) risiko, yaitu risiko kredit, risiko pasar, risiko likuiditas, risiko operasional, risiko hukum, risiko strategis, risiko kepatuhan, dan risiko reputasi. Penilaian ini dilakukan sesuai dengan Pasal 7 ayat 1 Peraturan Nomor 13/1/PBI/2011, yang berlaku terhadap faktor profil risiko sebagaimana disebutkan dalam Pasal 6 huruf a.</w:t>
      </w:r>
    </w:p>
    <w:p w14:paraId="7CFF6AFB" w14:textId="33212F01" w:rsidR="00E74D48" w:rsidRPr="00097066" w:rsidRDefault="00E74D48" w:rsidP="00097066">
      <w:pPr>
        <w:ind w:left="0" w:firstLine="720"/>
        <w:rPr>
          <w:sz w:val="24"/>
          <w:szCs w:val="24"/>
        </w:rPr>
      </w:pPr>
      <w:r w:rsidRPr="00097066">
        <w:rPr>
          <w:iCs/>
          <w:sz w:val="24"/>
          <w:szCs w:val="24"/>
          <w:lang w:val="en-US"/>
        </w:rPr>
        <w:t>Pada penelitian ini</w:t>
      </w:r>
      <w:r w:rsidR="003D67CE" w:rsidRPr="00097066">
        <w:rPr>
          <w:iCs/>
          <w:sz w:val="24"/>
          <w:szCs w:val="24"/>
          <w:lang w:val="en-US"/>
        </w:rPr>
        <w:t xml:space="preserve"> faktor </w:t>
      </w:r>
      <w:r w:rsidR="003D67CE" w:rsidRPr="00097066">
        <w:rPr>
          <w:i/>
          <w:iCs/>
          <w:sz w:val="24"/>
          <w:szCs w:val="24"/>
          <w:lang w:val="en-US"/>
        </w:rPr>
        <w:t>risk profile</w:t>
      </w:r>
      <w:r w:rsidRPr="00097066">
        <w:rPr>
          <w:iCs/>
          <w:sz w:val="24"/>
          <w:szCs w:val="24"/>
          <w:lang w:val="en-US"/>
        </w:rPr>
        <w:t xml:space="preserve"> </w:t>
      </w:r>
      <w:r w:rsidR="003D67CE" w:rsidRPr="00097066">
        <w:rPr>
          <w:iCs/>
          <w:sz w:val="24"/>
          <w:szCs w:val="24"/>
          <w:lang w:val="en-US"/>
        </w:rPr>
        <w:t xml:space="preserve">diukur dengan </w:t>
      </w:r>
      <w:r w:rsidRPr="00097066">
        <w:rPr>
          <w:iCs/>
          <w:sz w:val="24"/>
          <w:szCs w:val="24"/>
          <w:lang w:val="en-US"/>
        </w:rPr>
        <w:t>risiko kredit (</w:t>
      </w:r>
      <w:r w:rsidRPr="00097066">
        <w:rPr>
          <w:i/>
          <w:sz w:val="24"/>
          <w:szCs w:val="24"/>
          <w:lang w:val="en-US"/>
        </w:rPr>
        <w:t>Non Performing Loan</w:t>
      </w:r>
      <w:r w:rsidRPr="00097066">
        <w:rPr>
          <w:iCs/>
          <w:sz w:val="24"/>
          <w:szCs w:val="24"/>
          <w:lang w:val="en-US"/>
        </w:rPr>
        <w:t xml:space="preserve">). </w:t>
      </w:r>
      <w:r w:rsidRPr="00097066">
        <w:rPr>
          <w:i/>
          <w:sz w:val="24"/>
          <w:szCs w:val="24"/>
          <w:lang w:val="en-US"/>
        </w:rPr>
        <w:t>Good Corporate Governance</w:t>
      </w:r>
      <w:r w:rsidRPr="00097066">
        <w:rPr>
          <w:iCs/>
          <w:sz w:val="24"/>
          <w:szCs w:val="24"/>
          <w:lang w:val="en-US"/>
        </w:rPr>
        <w:t xml:space="preserve"> adalah </w:t>
      </w:r>
      <w:r w:rsidR="00E224C8" w:rsidRPr="00097066">
        <w:rPr>
          <w:iCs/>
          <w:sz w:val="24"/>
          <w:szCs w:val="24"/>
          <w:lang w:val="en-US"/>
        </w:rPr>
        <w:t>sistem interaksi, prosedur, dan kerangka kerja yang digunakan organisasi perseroan (Direksi, Dewan Komisaris, dan RUPS) untuk menambah nilai bagi pemegang saham, dan tetap mengutamakan kepentingan pemangku kepentingan lainnya sesuai dengan peraturan perundang-undangan yang berlaku.</w:t>
      </w:r>
      <w:r w:rsidRPr="00097066">
        <w:rPr>
          <w:iCs/>
          <w:sz w:val="24"/>
          <w:szCs w:val="24"/>
          <w:lang w:val="en-US"/>
        </w:rPr>
        <w:t xml:space="preserve">. </w:t>
      </w:r>
      <w:r w:rsidRPr="00097066">
        <w:rPr>
          <w:iCs/>
          <w:sz w:val="24"/>
          <w:szCs w:val="24"/>
          <w:lang w:val="en-US"/>
        </w:rPr>
        <w:fldChar w:fldCharType="begin" w:fldLock="1"/>
      </w:r>
      <w:r w:rsidRPr="00097066">
        <w:rPr>
          <w:iCs/>
          <w:sz w:val="24"/>
          <w:szCs w:val="24"/>
          <w:lang w:val="en-US"/>
        </w:rPr>
        <w:instrText>ADDIN CSL_CITATION {"citationItems":[{"id":"ITEM-1","itemData":{"author":[{"dropping-particle":"","family":"Daniri","given":"Achmad","non-dropping-particle":"","parse-names":false,"suffix":""}],"id":"ITEM-1","issued":{"date-parts":[["2005"]]},"publisher":"Ray Indonesia","title":"Good Corporate Governance : Konsep Dan Penerapannya Dalam Konteks Indonesia","type":"book"},"uris":["http://www.mendeley.com/documents/?uuid=839ab9f6-4ecc-40f2-8533-9f20d7851a4e"]}],"mendeley":{"formattedCitation":"(Daniri, 2005)","plainTextFormattedCitation":"(Daniri, 2005)","previouslyFormattedCitation":"(Daniri, 2005)"},"properties":{"noteIndex":0},"schema":"https://github.com/citation-style-language/schema/raw/master/csl-citation.json"}</w:instrText>
      </w:r>
      <w:r w:rsidRPr="00097066">
        <w:rPr>
          <w:iCs/>
          <w:sz w:val="24"/>
          <w:szCs w:val="24"/>
          <w:lang w:val="en-US"/>
        </w:rPr>
        <w:fldChar w:fldCharType="separate"/>
      </w:r>
      <w:r w:rsidRPr="00097066">
        <w:rPr>
          <w:iCs/>
          <w:sz w:val="24"/>
          <w:szCs w:val="24"/>
          <w:lang w:val="en-US"/>
        </w:rPr>
        <w:t>(Daniri, 2005)</w:t>
      </w:r>
      <w:r w:rsidRPr="00097066">
        <w:rPr>
          <w:iCs/>
          <w:sz w:val="24"/>
          <w:szCs w:val="24"/>
          <w:lang w:val="en-US"/>
        </w:rPr>
        <w:fldChar w:fldCharType="end"/>
      </w:r>
      <w:r w:rsidRPr="00097066">
        <w:rPr>
          <w:iCs/>
          <w:sz w:val="24"/>
          <w:szCs w:val="24"/>
          <w:lang w:val="en-US"/>
        </w:rPr>
        <w:t>. Sebagaimana termuat dalam Surat Edaran Bank Indonesia Nomor 13/24/DPNP poin tiga (III) huruf (c) mengenai pokok-pokok ketentuan penilaian tingkat kesehatan bank umum, yaitu evaluasi terhadap kinerja rentabilitas, sumber-sumber rentabilitas, kesinambungan (</w:t>
      </w:r>
      <w:r w:rsidRPr="00097066">
        <w:rPr>
          <w:i/>
          <w:sz w:val="24"/>
          <w:szCs w:val="24"/>
          <w:lang w:val="en-US"/>
        </w:rPr>
        <w:t>sustainability</w:t>
      </w:r>
      <w:r w:rsidRPr="00097066">
        <w:rPr>
          <w:iCs/>
          <w:sz w:val="24"/>
          <w:szCs w:val="24"/>
          <w:lang w:val="en-US"/>
        </w:rPr>
        <w:t xml:space="preserve">) rentabilitas, dan manajemen rentabilitas. Pada penelitian ini mengukur faktor </w:t>
      </w:r>
      <w:r w:rsidRPr="00097066">
        <w:rPr>
          <w:i/>
          <w:sz w:val="24"/>
          <w:szCs w:val="24"/>
          <w:lang w:val="en-US"/>
        </w:rPr>
        <w:t>earning</w:t>
      </w:r>
      <w:r w:rsidRPr="00097066">
        <w:rPr>
          <w:iCs/>
          <w:sz w:val="24"/>
          <w:szCs w:val="24"/>
          <w:lang w:val="en-US"/>
        </w:rPr>
        <w:t xml:space="preserve"> hanya mencakup risiko rentabilitas (</w:t>
      </w:r>
      <w:r w:rsidRPr="00097066">
        <w:rPr>
          <w:i/>
          <w:sz w:val="24"/>
          <w:szCs w:val="24"/>
          <w:lang w:val="en-US"/>
        </w:rPr>
        <w:t>Return On Assets</w:t>
      </w:r>
      <w:r w:rsidRPr="00097066">
        <w:rPr>
          <w:iCs/>
          <w:sz w:val="24"/>
          <w:szCs w:val="24"/>
          <w:lang w:val="en-US"/>
        </w:rPr>
        <w:t>). Peraturan bank Indonesia Nomor 13/1/PBI/2011 Pasal 7 ayat 2 sebagaimana dimaksud dalam pasal 6 huruf d meliputi penilaian terhadap tingkat kecukupan permodalan dan pengelolaan permodalan. Pada penelitian ini mengukur faktor capital hanya mencakup rasio solvabilitas (</w:t>
      </w:r>
      <w:r w:rsidRPr="00097066">
        <w:rPr>
          <w:i/>
          <w:sz w:val="24"/>
          <w:szCs w:val="24"/>
          <w:lang w:val="en-US"/>
        </w:rPr>
        <w:t>Capital Adequacy Ratio</w:t>
      </w:r>
      <w:r w:rsidRPr="00097066">
        <w:rPr>
          <w:iCs/>
          <w:sz w:val="24"/>
          <w:szCs w:val="24"/>
          <w:lang w:val="en-US"/>
        </w:rPr>
        <w:t>).</w:t>
      </w:r>
    </w:p>
    <w:p w14:paraId="7341B9B7" w14:textId="77777777" w:rsidR="00990652" w:rsidRPr="00097066" w:rsidRDefault="00990652" w:rsidP="00097066">
      <w:pPr>
        <w:ind w:left="0" w:firstLine="709"/>
        <w:rPr>
          <w:sz w:val="24"/>
          <w:szCs w:val="24"/>
        </w:rPr>
      </w:pPr>
    </w:p>
    <w:p w14:paraId="556BBDA2" w14:textId="27221EEA" w:rsidR="00181975" w:rsidRPr="00097066" w:rsidRDefault="00DC32DF" w:rsidP="00097066">
      <w:pPr>
        <w:ind w:left="0" w:firstLine="0"/>
        <w:rPr>
          <w:b/>
          <w:sz w:val="24"/>
          <w:szCs w:val="24"/>
          <w:lang w:val="en-US"/>
        </w:rPr>
      </w:pPr>
      <w:r w:rsidRPr="00097066">
        <w:rPr>
          <w:b/>
          <w:sz w:val="24"/>
          <w:szCs w:val="24"/>
          <w:lang w:val="en-US"/>
        </w:rPr>
        <w:t>TINJAUAN PUSTAKA</w:t>
      </w:r>
    </w:p>
    <w:p w14:paraId="529C2105" w14:textId="77777777" w:rsidR="00E74D48" w:rsidRPr="00097066" w:rsidRDefault="00E74D48" w:rsidP="00097066">
      <w:pPr>
        <w:ind w:left="0" w:firstLine="0"/>
        <w:rPr>
          <w:b/>
          <w:bCs/>
          <w:sz w:val="24"/>
          <w:szCs w:val="24"/>
        </w:rPr>
      </w:pPr>
      <w:r w:rsidRPr="00097066">
        <w:rPr>
          <w:b/>
          <w:bCs/>
          <w:sz w:val="24"/>
          <w:szCs w:val="24"/>
        </w:rPr>
        <w:t>Metode Penilaian Tingkat Kesehatan Bank</w:t>
      </w:r>
    </w:p>
    <w:p w14:paraId="4AAB935C" w14:textId="63D05F58" w:rsidR="00E74D48" w:rsidRPr="00097066" w:rsidRDefault="003D67CE" w:rsidP="00097066">
      <w:pPr>
        <w:ind w:left="0" w:firstLine="709"/>
        <w:rPr>
          <w:rFonts w:eastAsiaTheme="minorHAnsi"/>
          <w:sz w:val="24"/>
          <w:szCs w:val="24"/>
        </w:rPr>
      </w:pPr>
      <w:r w:rsidRPr="00097066">
        <w:rPr>
          <w:sz w:val="24"/>
          <w:szCs w:val="24"/>
        </w:rPr>
        <w:t>Bank yang dapat menjunjung tinggi kepercayaan masyarakat, melakukan tugas intermediasi, memfasilitasi kelancaran operasional pembayaran, dan membantu pemerintah dalam memberlakukan berbagai kebijakan khususnya kebijakan moneter yang dianggap sehat. Diantisipasi bahwa dengan melakukan tugas-tugas ini, masyarakat akan menerima layanan berkualitas tinggi dan ekonomi secara keseluruhan akan mendapatkan keuntungan.</w:t>
      </w:r>
    </w:p>
    <w:p w14:paraId="1AC36E9F" w14:textId="7FC0EBC7" w:rsidR="00181975" w:rsidRPr="00303F2D" w:rsidRDefault="00E224C8" w:rsidP="00303F2D">
      <w:pPr>
        <w:ind w:left="0" w:firstLine="709"/>
        <w:rPr>
          <w:rFonts w:eastAsiaTheme="minorHAnsi"/>
          <w:sz w:val="24"/>
          <w:szCs w:val="24"/>
          <w:lang w:val="en-US"/>
        </w:rPr>
      </w:pPr>
      <w:r w:rsidRPr="00097066">
        <w:rPr>
          <w:rFonts w:eastAsiaTheme="minorHAnsi"/>
          <w:sz w:val="24"/>
          <w:szCs w:val="24"/>
        </w:rPr>
        <w:t xml:space="preserve">Bank Indonesia mengganti metode asesmen kesehatan bank sebelumnya dengan metode CAMELS dengan metode RGEC yang berlaku sejak Januari 2012 melalui penerbitan Peraturan Bank Indonesia No. 13/1/PBI/2011 dan Surat Edaran Bank Indonesia No. 13/24/DPNP. Sejak diterbitkannya Peraturan Bank Indonesia No. 6/10/PBI/2004 dan Surat Edaran No. 6/23/DPNP, metode CAMELS telah digunakan selama hampir delapan tahun. Metode CAMELS telah dianggap tidak valid dengan dikeluarkannya Peraturan Bank Indonesia dan Surat Edaran terbaru. Sebagai gantinya, Bank Umum sekarang diharuskan untuk melakukan penilaian </w:t>
      </w:r>
      <w:r w:rsidRPr="00097066">
        <w:rPr>
          <w:rFonts w:eastAsiaTheme="minorHAnsi"/>
          <w:sz w:val="24"/>
          <w:szCs w:val="24"/>
        </w:rPr>
        <w:lastRenderedPageBreak/>
        <w:t>mandiri individu dan konsolidasi terhadap kesehatan bank menggunakan metode RGEC. Profil Risiko, Tata Kelola Perusahaan yang Baik, Pendapatan, dan Permodalan adalah elemen-elemen yang dievaluasi dalam metode RGEC untuk menentukan status kesehatan bank.</w:t>
      </w:r>
    </w:p>
    <w:p w14:paraId="6005AB97" w14:textId="77777777" w:rsidR="00E74D48" w:rsidRPr="00097066" w:rsidRDefault="00E74D48" w:rsidP="00097066">
      <w:pPr>
        <w:ind w:left="0" w:firstLine="0"/>
        <w:rPr>
          <w:b/>
          <w:bCs/>
          <w:sz w:val="24"/>
          <w:szCs w:val="24"/>
        </w:rPr>
      </w:pPr>
      <w:r w:rsidRPr="00097066">
        <w:rPr>
          <w:b/>
          <w:bCs/>
          <w:i/>
          <w:iCs/>
          <w:sz w:val="24"/>
          <w:szCs w:val="24"/>
        </w:rPr>
        <w:t>Risk Profile</w:t>
      </w:r>
      <w:r w:rsidRPr="00097066">
        <w:rPr>
          <w:b/>
          <w:bCs/>
          <w:sz w:val="24"/>
          <w:szCs w:val="24"/>
        </w:rPr>
        <w:t xml:space="preserve"> (Profil Risiko)</w:t>
      </w:r>
    </w:p>
    <w:p w14:paraId="416B3A91" w14:textId="23DD66E4" w:rsidR="00181975" w:rsidRPr="00303F2D" w:rsidRDefault="00E74D48" w:rsidP="00303F2D">
      <w:pPr>
        <w:ind w:left="0" w:firstLine="709"/>
        <w:rPr>
          <w:sz w:val="24"/>
          <w:szCs w:val="24"/>
          <w:lang w:val="en-US"/>
        </w:rPr>
      </w:pPr>
      <w:r w:rsidRPr="00097066">
        <w:rPr>
          <w:rFonts w:eastAsiaTheme="minorHAnsi"/>
          <w:sz w:val="24"/>
          <w:szCs w:val="24"/>
        </w:rPr>
        <w:t xml:space="preserve">Menurut Fitriana, Nur. Rosyid, Ahmad. Fakhrina, A. (2015). </w:t>
      </w:r>
      <w:r w:rsidR="00101FE6" w:rsidRPr="00097066">
        <w:rPr>
          <w:sz w:val="24"/>
          <w:szCs w:val="24"/>
        </w:rPr>
        <w:t xml:space="preserve">Evaluasi faktor-faktor profil risiko memperhitungkan tingkat risiko yang terkait dengan operasional bank, kualitas penerapan manajemen risiko, dan risiko bawaan. Ada delapan (delapan) jenis risiko yang perlu dievaluasi: risiko kredit, </w:t>
      </w:r>
      <w:r w:rsidR="00E224C8" w:rsidRPr="00097066">
        <w:rPr>
          <w:sz w:val="24"/>
          <w:szCs w:val="24"/>
          <w:lang w:val="en-US"/>
        </w:rPr>
        <w:t xml:space="preserve">risiko </w:t>
      </w:r>
      <w:r w:rsidR="00101FE6" w:rsidRPr="00097066">
        <w:rPr>
          <w:sz w:val="24"/>
          <w:szCs w:val="24"/>
        </w:rPr>
        <w:t xml:space="preserve">pasar, </w:t>
      </w:r>
      <w:r w:rsidR="00E224C8" w:rsidRPr="00097066">
        <w:rPr>
          <w:sz w:val="24"/>
          <w:szCs w:val="24"/>
          <w:lang w:val="en-US"/>
        </w:rPr>
        <w:t xml:space="preserve">risiko </w:t>
      </w:r>
      <w:r w:rsidR="00101FE6" w:rsidRPr="00097066">
        <w:rPr>
          <w:sz w:val="24"/>
          <w:szCs w:val="24"/>
        </w:rPr>
        <w:t xml:space="preserve">operasional, </w:t>
      </w:r>
      <w:r w:rsidR="00E224C8" w:rsidRPr="00097066">
        <w:rPr>
          <w:sz w:val="24"/>
          <w:szCs w:val="24"/>
          <w:lang w:val="en-US"/>
        </w:rPr>
        <w:t xml:space="preserve">risiko </w:t>
      </w:r>
      <w:r w:rsidR="00101FE6" w:rsidRPr="00097066">
        <w:rPr>
          <w:sz w:val="24"/>
          <w:szCs w:val="24"/>
        </w:rPr>
        <w:t xml:space="preserve">likuiditas, </w:t>
      </w:r>
      <w:r w:rsidR="00E224C8" w:rsidRPr="00097066">
        <w:rPr>
          <w:sz w:val="24"/>
          <w:szCs w:val="24"/>
          <w:lang w:val="en-US"/>
        </w:rPr>
        <w:t xml:space="preserve">risiko </w:t>
      </w:r>
      <w:r w:rsidR="00101FE6" w:rsidRPr="00097066">
        <w:rPr>
          <w:sz w:val="24"/>
          <w:szCs w:val="24"/>
        </w:rPr>
        <w:t xml:space="preserve">strategis, </w:t>
      </w:r>
      <w:r w:rsidR="00E224C8" w:rsidRPr="00097066">
        <w:rPr>
          <w:sz w:val="24"/>
          <w:szCs w:val="24"/>
          <w:lang w:val="en-US"/>
        </w:rPr>
        <w:t xml:space="preserve">risiko </w:t>
      </w:r>
      <w:r w:rsidR="00101FE6" w:rsidRPr="00097066">
        <w:rPr>
          <w:sz w:val="24"/>
          <w:szCs w:val="24"/>
        </w:rPr>
        <w:t xml:space="preserve">kepatuhan, </w:t>
      </w:r>
      <w:r w:rsidR="00E224C8" w:rsidRPr="00097066">
        <w:rPr>
          <w:sz w:val="24"/>
          <w:szCs w:val="24"/>
          <w:lang w:val="en-US"/>
        </w:rPr>
        <w:t xml:space="preserve">risiko </w:t>
      </w:r>
      <w:r w:rsidR="00E224C8" w:rsidRPr="00097066">
        <w:rPr>
          <w:sz w:val="24"/>
          <w:szCs w:val="24"/>
        </w:rPr>
        <w:t>hukum,</w:t>
      </w:r>
      <w:r w:rsidR="00101FE6" w:rsidRPr="00097066">
        <w:rPr>
          <w:sz w:val="24"/>
          <w:szCs w:val="24"/>
        </w:rPr>
        <w:t>dan</w:t>
      </w:r>
      <w:r w:rsidR="00E224C8" w:rsidRPr="00097066">
        <w:rPr>
          <w:sz w:val="24"/>
          <w:szCs w:val="24"/>
          <w:lang w:val="en-US"/>
        </w:rPr>
        <w:t xml:space="preserve"> risiko</w:t>
      </w:r>
      <w:r w:rsidR="00101FE6" w:rsidRPr="00097066">
        <w:rPr>
          <w:sz w:val="24"/>
          <w:szCs w:val="24"/>
        </w:rPr>
        <w:t xml:space="preserve"> reputasi. Enam risiko lainnya tidak digunakan dalam penelitian ini karena tidak ada cukup data yang tersedia, sehingga peneliti hanya menggunakan indikator risiko kredit dan risiko likuiditas sebagai indikator profil risiko ini. </w:t>
      </w:r>
      <w:r w:rsidR="0010458B" w:rsidRPr="00097066">
        <w:rPr>
          <w:sz w:val="24"/>
          <w:szCs w:val="24"/>
        </w:rPr>
        <w:t>Kemungkinan bahwa debitur atau pihak ketiga tidak akan mampu membayar utang mereka kepada bank, penerbit, atau peminjam dikenal sebagai risiko kredit. Menurut Surat Edaran Bank Indonesia No. 13 Tahun 2011, ada sejumlah faktor yang dapat menyebabkan peningkatan risiko kredit, antara lain konsentrasi dana dengan debitur, area usaha tertentu, produk, jenis pembiayaan, dan lokasi geografis.</w:t>
      </w:r>
    </w:p>
    <w:p w14:paraId="6562E19E" w14:textId="77777777" w:rsidR="00E74D48" w:rsidRPr="00097066" w:rsidRDefault="00E74D48" w:rsidP="00097066">
      <w:pPr>
        <w:ind w:left="0" w:firstLine="0"/>
        <w:rPr>
          <w:b/>
          <w:bCs/>
          <w:i/>
          <w:iCs/>
          <w:sz w:val="24"/>
          <w:szCs w:val="24"/>
        </w:rPr>
      </w:pPr>
      <w:r w:rsidRPr="00097066">
        <w:rPr>
          <w:b/>
          <w:bCs/>
          <w:i/>
          <w:iCs/>
          <w:sz w:val="24"/>
          <w:szCs w:val="24"/>
        </w:rPr>
        <w:t>Good Corporate Governance</w:t>
      </w:r>
    </w:p>
    <w:p w14:paraId="1D764EA8" w14:textId="2DF3F83C" w:rsidR="00E74D48" w:rsidRPr="00097066" w:rsidRDefault="0010458B" w:rsidP="00097066">
      <w:pPr>
        <w:ind w:left="0" w:firstLine="709"/>
        <w:rPr>
          <w:rFonts w:eastAsiaTheme="minorHAnsi"/>
          <w:sz w:val="24"/>
          <w:szCs w:val="24"/>
        </w:rPr>
      </w:pPr>
      <w:r w:rsidRPr="00097066">
        <w:rPr>
          <w:rFonts w:eastAsiaTheme="minorHAnsi"/>
          <w:sz w:val="24"/>
          <w:szCs w:val="24"/>
        </w:rPr>
        <w:t>Evaluasi terhadap penerapan prinsip-prinsip tata kelola perusahaan yang baik oleh manajemen Bank merupakan bagian dari penilaian faktor-faktor tata kelola perusahaan yang baik (Pasal 7 PBI Nomor 13/1/PBI/2011). Penerapan tata kelola perusahaan yang baik bagi bank umum diatur dalam Surat Edaran Bank Indonesia 15/15/DPNP/2013, yang menguraikan lima prinsip utama: akuntabilitas, transparansi, independensi, keadilan, dan tanggung jawab.  Selain itu, laporan keuangan tahunan adalah tempat yang baik untuk mulai melihat seberapa baik tata kelola perusahaan di industri perbankan. Peringkat komposit yang telah ditetapkan dalam PBI Nomor 13/1/PBI/2011 juga menjadi dasar evaluasi ini.</w:t>
      </w:r>
    </w:p>
    <w:p w14:paraId="5EB437DB" w14:textId="4DF30488" w:rsidR="00E74D48" w:rsidRPr="00097066" w:rsidRDefault="00101FE6" w:rsidP="00097066">
      <w:pPr>
        <w:ind w:left="0" w:firstLine="709"/>
        <w:rPr>
          <w:rFonts w:eastAsiaTheme="minorHAnsi"/>
          <w:sz w:val="24"/>
          <w:szCs w:val="24"/>
        </w:rPr>
      </w:pPr>
      <w:r w:rsidRPr="00097066">
        <w:rPr>
          <w:rFonts w:eastAsiaTheme="minorHAnsi"/>
          <w:sz w:val="24"/>
          <w:szCs w:val="24"/>
          <w:lang w:val="en-US"/>
        </w:rPr>
        <w:t>D</w:t>
      </w:r>
      <w:r w:rsidRPr="00097066">
        <w:rPr>
          <w:rFonts w:eastAsiaTheme="minorHAnsi"/>
          <w:sz w:val="24"/>
          <w:szCs w:val="24"/>
        </w:rPr>
        <w:t>ireksi dan kepemilikan manajemen (pihak internal) adalah satu-satunya yang memutuskan mekanisme tata kelola perusahaan yang baik. Namun, kepemilikan institusional memberikan kontrol yang dibutuhkan entitas bisnis untuk menerapkan mekanisme tata kelola perusahaan yang baik dari sumber luar. Perusahaan juga harus menyertakan audit eksternal atau pengawasan yang dilakukan oleh dewan komisaris independen dan komite audit untuk memaksimalkan tata kelola perusahaan yang baik. Pihak-pihak eksternal ini sangat penting untuk proses ini.</w:t>
      </w:r>
      <w:r w:rsidRPr="00097066">
        <w:rPr>
          <w:rFonts w:eastAsiaTheme="minorHAnsi"/>
          <w:sz w:val="24"/>
          <w:szCs w:val="24"/>
          <w:lang w:val="en-US"/>
        </w:rPr>
        <w:t xml:space="preserve"> </w:t>
      </w:r>
      <w:r w:rsidR="00E74D48" w:rsidRPr="00097066">
        <w:rPr>
          <w:rFonts w:eastAsiaTheme="minorHAnsi"/>
          <w:sz w:val="24"/>
          <w:szCs w:val="24"/>
        </w:rPr>
        <w:t xml:space="preserve">Berdasarkan mekanisme untuk mencapai </w:t>
      </w:r>
      <w:r w:rsidR="00E74D48" w:rsidRPr="00097066">
        <w:rPr>
          <w:rFonts w:eastAsiaTheme="minorHAnsi"/>
          <w:i/>
          <w:iCs/>
          <w:sz w:val="24"/>
          <w:szCs w:val="24"/>
        </w:rPr>
        <w:t>good corporate governance</w:t>
      </w:r>
      <w:r w:rsidR="00E74D48" w:rsidRPr="00097066">
        <w:rPr>
          <w:rFonts w:eastAsiaTheme="minorHAnsi"/>
          <w:sz w:val="24"/>
          <w:szCs w:val="24"/>
        </w:rPr>
        <w:t xml:space="preserve"> maka peneliti dapat menggunakan indikator dewan direksi untuk memperoleh variabel </w:t>
      </w:r>
      <w:r w:rsidR="00E74D48" w:rsidRPr="00097066">
        <w:rPr>
          <w:rFonts w:eastAsiaTheme="minorHAnsi"/>
          <w:i/>
          <w:iCs/>
          <w:sz w:val="24"/>
          <w:szCs w:val="24"/>
        </w:rPr>
        <w:t>good corporate governance</w:t>
      </w:r>
      <w:r w:rsidR="00E74D48" w:rsidRPr="00097066">
        <w:rPr>
          <w:rFonts w:eastAsiaTheme="minorHAnsi"/>
          <w:sz w:val="24"/>
          <w:szCs w:val="24"/>
        </w:rPr>
        <w:t xml:space="preserve">. </w:t>
      </w:r>
      <w:r w:rsidR="00E74D48" w:rsidRPr="00097066">
        <w:rPr>
          <w:rFonts w:eastAsiaTheme="minorHAnsi"/>
          <w:sz w:val="24"/>
          <w:szCs w:val="24"/>
        </w:rPr>
        <w:fldChar w:fldCharType="begin" w:fldLock="1"/>
      </w:r>
      <w:r w:rsidR="00E74D48" w:rsidRPr="00097066">
        <w:rPr>
          <w:rFonts w:eastAsiaTheme="minorHAnsi"/>
          <w:sz w:val="24"/>
          <w:szCs w:val="24"/>
        </w:rPr>
        <w:instrText>ADDIN CSL_CITATION {"citationItems":[{"id":"ITEM-1","itemData":{"DOI":"10.32503/CENDEKIAAKUNTANSI.V8I2.3136","ISSN":"2338-3593","abstract":"Konflik kepentingan yang terjadi pada perusahaan antara pihak principal dan juga pihak agen, akan menimbulkan adanya biaya keagenan perusahaan yang besar. Biaya tersebut tentunya akan merugikan perusahaan secara financial, untuk itu perusahaan haruslah menggurangi biaya keagenan supaya perusahaan dapat berjalan dengan efisien. Tujuan dari penelitian ini adalah mnegetahui apakah corporate governance dan leverage perusahaan bisa menyelesaikan masalah biaya keagenan atau agency cost. \nPenelitian ini adalah penelitian deskriptif dengan pendekatan kuantitatif dengan tujuan menganalisa, menjelaskan, dan menyimpulkan mengenai pengaruh corporate governance dan leverage terhadap agency cost. Teknik pengumpulan data dalam penelitian ini adalah berupa dokumentasi laporan keuangan perusahaan food &amp;amp; beverage yang terdaftar di BEI 2019-2021. Teknik analisis yang digunakan dalam penelitian ini adalah berupa, Uji Asumsi Klasik, Uji Regresi Linier Berganda dan Uji Hipotesis.\nHasil penelitian ini menunjukan corporate governance berpengaruh terhadap agency cost, hal tersebut disebabkan corporate governance yang baik akan menjadikan perusahaan berjalan efisien dan pemborosan akan semakin ditekan agency cost berkurang. leverage tidak berpengaruh terhadap agency cost. Hal tersebut disebabkan rasio hutang yang kecil pada sampel penelitian ini menjadikan leverage tidak berpengaruh terhdap agency cost. Secara simultan variabel ukuran corporate governance dan leverage tidak berpengaruh terhadap variabel agency cost.","author":[{"dropping-particle":"","family":"Dinisafitri","given":"Ervi Siska","non-dropping-particle":"","parse-names":false,"suffix":""},{"dropping-particle":"","family":"Rahayu","given":"Puji","non-dropping-particle":"","parse-names":false,"suffix":""},{"dropping-particle":"","family":"Kusumaningarti","given":"Miladiah","non-dropping-particle":"","parse-names":false,"suffix":""}],"container-title":"Jurnal Ilmiah Cendekia Akuntansi","id":"ITEM-1","issue":"2","issued":{"date-parts":[["2023","4","29"]]},"page":"1-15","title":"PENGARUH CORPORATE GOVERNANCE DAN LEVERAGE TERHADAP AGENCY COST PADA PERUSAHAAN FOOD BEVERAGE BURSA EFEK INDONESIA","type":"article-journal","volume":"8"},"uris":["http://www.mendeley.com/documents/?uuid=9dc517ba-ba98-3246-ac27-2d8233c12fc5"]}],"mendeley":{"formattedCitation":"(Dinisafitri et al., 2023)","manualFormatting":"(Yuliana dalam penelitian Dinisafitri et al., 2023)","plainTextFormattedCitation":"(Dinisafitri et al., 2023)","previouslyFormattedCitation":"(Dinisafitri et al., 2023)"},"properties":{"noteIndex":0},"schema":"https://github.com/citation-style-language/schema/raw/master/csl-citation.json"}</w:instrText>
      </w:r>
      <w:r w:rsidR="00E74D48" w:rsidRPr="00097066">
        <w:rPr>
          <w:rFonts w:eastAsiaTheme="minorHAnsi"/>
          <w:sz w:val="24"/>
          <w:szCs w:val="24"/>
        </w:rPr>
        <w:fldChar w:fldCharType="separate"/>
      </w:r>
      <w:r w:rsidR="00E74D48" w:rsidRPr="00097066">
        <w:rPr>
          <w:rFonts w:eastAsiaTheme="minorHAnsi"/>
          <w:sz w:val="24"/>
          <w:szCs w:val="24"/>
        </w:rPr>
        <w:t>(Yuliana dalam penelitian Dinisafitri et al., 2023)</w:t>
      </w:r>
      <w:r w:rsidR="00E74D48" w:rsidRPr="00097066">
        <w:rPr>
          <w:rFonts w:eastAsiaTheme="minorHAnsi"/>
          <w:sz w:val="24"/>
          <w:szCs w:val="24"/>
        </w:rPr>
        <w:fldChar w:fldCharType="end"/>
      </w:r>
      <w:r w:rsidR="00E74D48" w:rsidRPr="00097066">
        <w:rPr>
          <w:rFonts w:eastAsiaTheme="minorHAnsi"/>
          <w:sz w:val="24"/>
          <w:szCs w:val="24"/>
        </w:rPr>
        <w:t xml:space="preserve"> </w:t>
      </w:r>
    </w:p>
    <w:p w14:paraId="6277AC7B" w14:textId="579C57B4" w:rsidR="00181975" w:rsidRPr="00303F2D" w:rsidRDefault="00E74D48" w:rsidP="00303F2D">
      <w:pPr>
        <w:ind w:left="0" w:firstLine="709"/>
        <w:rPr>
          <w:rFonts w:eastAsiaTheme="minorHAnsi"/>
          <w:sz w:val="24"/>
          <w:szCs w:val="24"/>
          <w:lang w:val="en-US"/>
        </w:rPr>
      </w:pPr>
      <w:r w:rsidRPr="00097066">
        <w:rPr>
          <w:rFonts w:eastAsiaTheme="minorHAnsi"/>
          <w:sz w:val="24"/>
          <w:szCs w:val="24"/>
        </w:rPr>
        <w:t xml:space="preserve">Komisaris independen suatu posisi terbaik untuk melaksanakan fungsi pengawasan supaya tercipta perusahaan yang </w:t>
      </w:r>
      <w:r w:rsidRPr="00097066">
        <w:rPr>
          <w:rFonts w:eastAsiaTheme="minorHAnsi"/>
          <w:i/>
          <w:iCs/>
          <w:sz w:val="24"/>
          <w:szCs w:val="24"/>
        </w:rPr>
        <w:t>good corporate governance</w:t>
      </w:r>
      <w:r w:rsidRPr="00097066">
        <w:rPr>
          <w:rFonts w:eastAsiaTheme="minorHAnsi"/>
          <w:sz w:val="24"/>
          <w:szCs w:val="24"/>
        </w:rPr>
        <w:t xml:space="preserve">. “Komisaris independen yaitu komisaris yang bukan merupakan tim mananjemen, pemegang saham mayoritas, pejabat atau dapat dikatakan memiliki hubungan langsung ataupun tidak langsung dengan pemegang saham mayoritas dalam perusahaan yang mengawasi pengelolaan perusahaan” </w:t>
      </w:r>
      <w:r w:rsidRPr="00097066">
        <w:rPr>
          <w:rFonts w:eastAsiaTheme="minorHAnsi"/>
          <w:sz w:val="24"/>
          <w:szCs w:val="24"/>
        </w:rPr>
        <w:fldChar w:fldCharType="begin" w:fldLock="1"/>
      </w:r>
      <w:r w:rsidRPr="00097066">
        <w:rPr>
          <w:rFonts w:eastAsiaTheme="minorHAnsi"/>
          <w:sz w:val="24"/>
          <w:szCs w:val="24"/>
        </w:rPr>
        <w:instrText>ADDIN CSL_CITATION {"citationItems":[{"id":"ITEM-1","itemData":{"DOI":"10.55606/OPTIMAL.V2I3.511","ISSN":"2962-4010","abstract":"Tujuan dari penelitian ini yaitu menguji pengaruh Good Corporate Governance terhadap Profitabilitas baik secara parsial maupun secara simultan pada Perusahaan Perbankan yang terdaftar di Bursa Efek Indonesia periode 2014-2020. Teknik pengambilan sampel dalam penelitian ini yaitu teknik Purposive Sampling (penentuan sampel dengan kriteria tertentu) dengan jenis penelitian Kuantitatif&amp;nbsp; Asosiatif. Jumlah sampel dalam penelitian ini sebanyak 35 laporan keuangan perusahaan perbankan. pengolahan data pada penelitian ini menggunakan Uji Asumsi Klasik, Regresi Linier Berganda, Koefisien Determinasi (R2), Uji t dan Uji F. Hasil penelitian menunjukkan bahwa variabel Komite Audit, Dewan Direksi, Komisaris Independen dan Kepemilikan Institusional berpengaruh terhadap Return on Equity secara parsial. Komite Audit, Dewan Direksi, Komisaris Independen dan Kepemilikan Institusional berpengaruh terhadap Return on Equity secara simultan. Perusahaan perbankan sebaiknya lebih mengoptimalkan aspek sistem Good Corporate Governance dalam pengelolaan perusahaan sehingga kinerja perusahaan akan meningkat dan tingkat kepercayaan investor lebih meningkat dalam berinvestasi karena pengolahan perusahaan yang baik.\n&amp;nbsp;\nKata kunci: Dewan Direksi, Kepemilikan Institusional, Komisaris Independen, Komite Audit, Return on Equity (ROE).","author":[{"dropping-particle":"","family":"Medianto","given":"","non-dropping-particle":"","parse-names":false,"suffix":""},{"dropping-particle":"","family":"Munir","given":"Miftahul","non-dropping-particle":"","parse-names":false,"suffix":""},{"dropping-particle":"","family":"Ambarwati","given":"Diana","non-dropping-particle":"","parse-names":false,"suffix":""}],"container-title":"Jurnal Ekonomi dan Manajemen","id":"ITEM-1","issue":"3","issued":{"date-parts":[["2022","9","15"]]},"page":"300-317","publisher":"Politeknik Pratama Purwokerto","title":"PENGARUH GOOD CORPORATE GOVERNANCE TERHADAP PROFITABILITAS (STUDI KASUS PADA PERUSAHAAN PERBANKAN YANG TERDAFTAR DI BEI PERIODE TAHUN 2014-2020)","type":"article-journal","volume":"2"},"uris":["http://www.mendeley.com/documents/?uuid=e6a67f23-8d25-318b-a80d-fd698bd75512"]}],"mendeley":{"formattedCitation":"(Medianto et al., 2022)","manualFormatting":"(Wahyu dalam penelitian Medianto et al., 2022)","plainTextFormattedCitation":"(Medianto et al., 2022)","previouslyFormattedCitation":"(Medianto et al., 2022)"},"properties":{"noteIndex":0},"schema":"https://github.com/citation-style-language/schema/raw/master/csl-citation.json"}</w:instrText>
      </w:r>
      <w:r w:rsidRPr="00097066">
        <w:rPr>
          <w:rFonts w:eastAsiaTheme="minorHAnsi"/>
          <w:sz w:val="24"/>
          <w:szCs w:val="24"/>
        </w:rPr>
        <w:fldChar w:fldCharType="separate"/>
      </w:r>
      <w:r w:rsidRPr="00097066">
        <w:rPr>
          <w:rFonts w:eastAsiaTheme="minorHAnsi"/>
          <w:sz w:val="24"/>
          <w:szCs w:val="24"/>
        </w:rPr>
        <w:t>(Wahyu dalam penelitian Medianto et al., 2022)</w:t>
      </w:r>
      <w:r w:rsidRPr="00097066">
        <w:rPr>
          <w:rFonts w:eastAsiaTheme="minorHAnsi"/>
          <w:sz w:val="24"/>
          <w:szCs w:val="24"/>
        </w:rPr>
        <w:fldChar w:fldCharType="end"/>
      </w:r>
      <w:r w:rsidRPr="00097066">
        <w:rPr>
          <w:rFonts w:eastAsiaTheme="minorHAnsi"/>
          <w:sz w:val="24"/>
          <w:szCs w:val="24"/>
        </w:rPr>
        <w:t>.</w:t>
      </w:r>
    </w:p>
    <w:p w14:paraId="3382C4FA" w14:textId="77777777" w:rsidR="00E74D48" w:rsidRPr="00097066" w:rsidRDefault="00E74D48" w:rsidP="00097066">
      <w:pPr>
        <w:ind w:left="0" w:firstLine="0"/>
        <w:rPr>
          <w:b/>
          <w:bCs/>
          <w:sz w:val="24"/>
          <w:szCs w:val="24"/>
        </w:rPr>
      </w:pPr>
      <w:r w:rsidRPr="00097066">
        <w:rPr>
          <w:b/>
          <w:bCs/>
          <w:i/>
          <w:iCs/>
          <w:sz w:val="24"/>
          <w:szCs w:val="24"/>
        </w:rPr>
        <w:lastRenderedPageBreak/>
        <w:t>Earning</w:t>
      </w:r>
      <w:r w:rsidRPr="00097066">
        <w:rPr>
          <w:b/>
          <w:bCs/>
          <w:sz w:val="24"/>
          <w:szCs w:val="24"/>
        </w:rPr>
        <w:t xml:space="preserve"> (Rentabilitas)</w:t>
      </w:r>
    </w:p>
    <w:p w14:paraId="1B985264" w14:textId="1E0597C6" w:rsidR="00181975" w:rsidRPr="00303F2D" w:rsidRDefault="00D719F8" w:rsidP="00303F2D">
      <w:pPr>
        <w:ind w:left="0" w:firstLine="709"/>
        <w:rPr>
          <w:rFonts w:eastAsiaTheme="minorHAnsi"/>
          <w:sz w:val="24"/>
          <w:szCs w:val="24"/>
          <w:lang w:val="en-US"/>
        </w:rPr>
      </w:pPr>
      <w:r w:rsidRPr="00097066">
        <w:rPr>
          <w:sz w:val="24"/>
          <w:szCs w:val="24"/>
        </w:rPr>
        <w:t xml:space="preserve">Menurut </w:t>
      </w:r>
      <w:r w:rsidRPr="00097066">
        <w:rPr>
          <w:sz w:val="24"/>
          <w:szCs w:val="24"/>
        </w:rPr>
        <w:fldChar w:fldCharType="begin" w:fldLock="1"/>
      </w:r>
      <w:r w:rsidRPr="00097066">
        <w:rPr>
          <w:sz w:val="24"/>
          <w:szCs w:val="24"/>
        </w:rPr>
        <w:instrText>ADDIN CSL_CITATION {"citationItems":[{"id":"ITEM-1","itemData":{"DOI":"10.46367/JAS.V6I2.806","ISSN":"2657-1676","abstract":"This study analyzes the financial performance before and during the covid-19 pandemic on the operating profit. Sources of data come from primary data obtained through interviews and secondary data in the form of financial reports through documentation. The study was carried out using a quantitative descriptive method. Analysis was carried out descriptively regarding financial performance through return on assets (ROA), return on equity (ROE), and cash ratio. The study results show that financial performance before and during the covid-19 pandemic is still below cooperative financial standards and needs to produce operating profit optimally. Cooperative financial performance will have an influence on operating profit in the future. Good financial performance will be able to produce better-operating profits for cooperatives. The financial performance of cooperatives can impact obtaining profits in the future; therefore, cooperatives must manage their assets effectively and efficiently. This study can be a reference for cooperatives in running a business and increasing income.","author":[{"dropping-particle":"","family":"Ratih","given":"Nur Rahmanti","non-dropping-particle":"","parse-names":false,"suffix":""},{"dropping-particle":"","family":"Oktaviana","given":"Dwi","non-dropping-particle":"","parse-names":false,"suffix":""},{"dropping-particle":"","family":"Kusumaningarti","given":"Miladiah","non-dropping-particle":"","parse-names":false,"suffix":""}],"container-title":"JAS (Jurnal Akuntansi Syariah)","id":"ITEM-1","issue":"2","issued":{"date-parts":[["2022","12","16"]]},"page":"184-197","publisher":"Sekolah Tinggi Ilmu Ekonomi (STIE) Syariah Bengkalis","title":"Kinerja Keuangan Koperasi Sebelum Dan Saat Pandemi Covid-19 Terhadap Sisa Hasil Usaha","type":"article-journal","volume":"6"},"uris":["http://www.mendeley.com/documents/?uuid=feed34a4-526c-325b-921d-cf173b28d27d"]}],"mendeley":{"formattedCitation":"(Ratih et al., 2022)","manualFormatting":"Kasmir (dalam penelitian Ratih et al., 2022)","plainTextFormattedCitation":"(Ratih et al., 2022)","previouslyFormattedCitation":"(Ratih et al., 2022)"},"properties":{"noteIndex":0},"schema":"https://github.com/citation-style-language/schema/raw/master/csl-citation.json"}</w:instrText>
      </w:r>
      <w:r w:rsidRPr="00097066">
        <w:rPr>
          <w:sz w:val="24"/>
          <w:szCs w:val="24"/>
        </w:rPr>
        <w:fldChar w:fldCharType="separate"/>
      </w:r>
      <w:r w:rsidRPr="00097066">
        <w:rPr>
          <w:noProof/>
          <w:sz w:val="24"/>
          <w:szCs w:val="24"/>
        </w:rPr>
        <w:t>Kasmir (dalam penelitian Ratih et al., 2022)</w:t>
      </w:r>
      <w:r w:rsidRPr="00097066">
        <w:rPr>
          <w:sz w:val="24"/>
          <w:szCs w:val="24"/>
        </w:rPr>
        <w:fldChar w:fldCharType="end"/>
      </w:r>
      <w:r w:rsidRPr="00097066">
        <w:rPr>
          <w:sz w:val="24"/>
          <w:szCs w:val="24"/>
        </w:rPr>
        <w:t xml:space="preserve"> </w:t>
      </w:r>
      <w:r w:rsidR="00101FE6" w:rsidRPr="00097066">
        <w:rPr>
          <w:sz w:val="24"/>
          <w:szCs w:val="24"/>
        </w:rPr>
        <w:t>kemampuan perusahaan untuk menghasilkan laba dapat ditentukan dengan menggunakan berbagai teknik pengukuran profitabilitas, seperti laba per saham biasa, laba atas ekuitas (ROE), margin laba atas penjualan, dan laba atas investasi (ROI) atau laba atas aset (ROA).</w:t>
      </w:r>
    </w:p>
    <w:p w14:paraId="2BF24179" w14:textId="77777777" w:rsidR="00E74D48" w:rsidRPr="00097066" w:rsidRDefault="00E74D48" w:rsidP="00097066">
      <w:pPr>
        <w:ind w:left="0" w:firstLine="0"/>
        <w:rPr>
          <w:b/>
          <w:bCs/>
          <w:sz w:val="24"/>
          <w:szCs w:val="24"/>
        </w:rPr>
      </w:pPr>
      <w:r w:rsidRPr="00097066">
        <w:rPr>
          <w:b/>
          <w:bCs/>
          <w:i/>
          <w:iCs/>
          <w:sz w:val="24"/>
          <w:szCs w:val="24"/>
        </w:rPr>
        <w:t>Capital</w:t>
      </w:r>
      <w:r w:rsidRPr="00097066">
        <w:rPr>
          <w:b/>
          <w:bCs/>
          <w:sz w:val="24"/>
          <w:szCs w:val="24"/>
        </w:rPr>
        <w:t xml:space="preserve"> (Permodalan)</w:t>
      </w:r>
    </w:p>
    <w:p w14:paraId="6BE239EA" w14:textId="49984C3C" w:rsidR="00DC32DF" w:rsidRPr="00097066" w:rsidRDefault="00D719F8" w:rsidP="00097066">
      <w:pPr>
        <w:ind w:left="0" w:firstLine="709"/>
        <w:rPr>
          <w:rFonts w:eastAsiaTheme="minorHAnsi"/>
          <w:sz w:val="24"/>
          <w:szCs w:val="24"/>
        </w:rPr>
      </w:pPr>
      <w:r w:rsidRPr="00097066">
        <w:rPr>
          <w:rFonts w:eastAsiaTheme="minorHAnsi"/>
          <w:sz w:val="24"/>
          <w:szCs w:val="24"/>
        </w:rPr>
        <w:t>Menurut Fitriana, Nur. Ros</w:t>
      </w:r>
      <w:r w:rsidR="00101FE6" w:rsidRPr="00097066">
        <w:rPr>
          <w:rFonts w:eastAsiaTheme="minorHAnsi"/>
          <w:sz w:val="24"/>
          <w:szCs w:val="24"/>
        </w:rPr>
        <w:t>yid, Ahmad. Fakhrina, A. (2015)</w:t>
      </w:r>
      <w:r w:rsidRPr="00097066">
        <w:rPr>
          <w:rFonts w:eastAsiaTheme="minorHAnsi"/>
          <w:sz w:val="24"/>
          <w:szCs w:val="24"/>
        </w:rPr>
        <w:t xml:space="preserve"> </w:t>
      </w:r>
      <w:r w:rsidR="00101FE6" w:rsidRPr="00097066">
        <w:rPr>
          <w:rFonts w:eastAsiaTheme="minorHAnsi"/>
          <w:sz w:val="24"/>
          <w:szCs w:val="24"/>
        </w:rPr>
        <w:t>evaluasi kecukupan modal dan kecukupan pengelolaan modal termasuk dalam penilaian faktor modal. Bank wajib menggunakan ketentuan Bank Indonesia yang mengawasi Kewajiban Penyediaan Modal Minimum</w:t>
      </w:r>
      <w:r w:rsidR="00101FE6" w:rsidRPr="00097066">
        <w:rPr>
          <w:rFonts w:eastAsiaTheme="minorHAnsi"/>
          <w:sz w:val="24"/>
          <w:szCs w:val="24"/>
          <w:lang w:val="en-US"/>
        </w:rPr>
        <w:t xml:space="preserve"> (KPMM)</w:t>
      </w:r>
      <w:r w:rsidR="00101FE6" w:rsidRPr="00097066">
        <w:rPr>
          <w:rFonts w:eastAsiaTheme="minorHAnsi"/>
          <w:sz w:val="24"/>
          <w:szCs w:val="24"/>
        </w:rPr>
        <w:t xml:space="preserve"> bagi Bank Umum dalam menentukan modal. Selanjutnya, bank perlu mempertimbangkan Profil Risiko Bank saat mengevaluasi kecukupan modal. Semakin banyak modal yang harus disediakan untuk mengantisipasi risiko semakin tinggi risiko bank.</w:t>
      </w:r>
    </w:p>
    <w:p w14:paraId="60D4AFBB" w14:textId="77777777" w:rsidR="00DC32DF" w:rsidRPr="00097066" w:rsidRDefault="00DC32DF" w:rsidP="00097066">
      <w:pPr>
        <w:ind w:left="0" w:firstLine="0"/>
        <w:rPr>
          <w:b/>
          <w:sz w:val="24"/>
          <w:szCs w:val="24"/>
          <w:lang w:val="en-US"/>
        </w:rPr>
      </w:pPr>
    </w:p>
    <w:p w14:paraId="2902D3F2" w14:textId="5A1CCD87" w:rsidR="00C66385" w:rsidRPr="00303F2D" w:rsidRDefault="00C66385" w:rsidP="00097066">
      <w:pPr>
        <w:ind w:left="0" w:firstLine="0"/>
        <w:rPr>
          <w:b/>
          <w:sz w:val="24"/>
          <w:szCs w:val="24"/>
          <w:lang w:val="en-US"/>
        </w:rPr>
      </w:pPr>
      <w:r w:rsidRPr="00097066">
        <w:rPr>
          <w:b/>
          <w:sz w:val="24"/>
          <w:szCs w:val="24"/>
        </w:rPr>
        <w:t>METODE PENELITIAN</w:t>
      </w:r>
    </w:p>
    <w:p w14:paraId="6C89B7B7" w14:textId="5B766B2A" w:rsidR="00DC32DF" w:rsidRPr="00097066" w:rsidRDefault="006F2108" w:rsidP="00097066">
      <w:pPr>
        <w:ind w:left="0" w:firstLine="709"/>
        <w:rPr>
          <w:rFonts w:eastAsiaTheme="minorHAnsi"/>
          <w:sz w:val="24"/>
          <w:szCs w:val="24"/>
        </w:rPr>
      </w:pPr>
      <w:r w:rsidRPr="00097066">
        <w:rPr>
          <w:rFonts w:eastAsiaTheme="minorHAnsi"/>
          <w:sz w:val="24"/>
          <w:szCs w:val="24"/>
        </w:rPr>
        <w:t xml:space="preserve">Jenis data yang digunakan yaitu penelitian deskriptif kuantitatif. Penelitian ini dilakukan di Galeri Investasi Syariah Bursa Efek Indonesia (GISBEI) FE UNISKA yang terletak di Jalan Sersan Suharmaji No.38 Kediri. Populasi dalam penelitian ini ada 42 perusahaan sektor perbankan. Dalam penelitian ini, sebanyak 11 perusahaan sektor perbankan dari tahun 2019-2021 yang dijadikan sampel. Metode pemilihan sampel pada penelitian ini menggunakan metode </w:t>
      </w:r>
      <w:r w:rsidRPr="00097066">
        <w:rPr>
          <w:rFonts w:eastAsiaTheme="minorHAnsi"/>
          <w:i/>
          <w:iCs/>
          <w:sz w:val="24"/>
          <w:szCs w:val="24"/>
        </w:rPr>
        <w:t>purposive sampling</w:t>
      </w:r>
      <w:r w:rsidRPr="00097066">
        <w:rPr>
          <w:rFonts w:eastAsiaTheme="minorHAnsi"/>
          <w:sz w:val="24"/>
          <w:szCs w:val="24"/>
        </w:rPr>
        <w:t>. Data sekunder digunakan digunakan dalam penelitian ini dan dapat dianggap sebagai data tambahan. Data untuk penelitian ini dikumpulkan dengan menggunakan teknik dokumentasi.</w:t>
      </w:r>
    </w:p>
    <w:p w14:paraId="7A59C849" w14:textId="77777777" w:rsidR="00E23FD6" w:rsidRPr="00097066" w:rsidRDefault="00E23FD6" w:rsidP="00097066">
      <w:pPr>
        <w:ind w:left="0" w:firstLine="0"/>
        <w:rPr>
          <w:sz w:val="24"/>
          <w:szCs w:val="24"/>
        </w:rPr>
      </w:pPr>
    </w:p>
    <w:p w14:paraId="0FC9582B" w14:textId="77CEF869" w:rsidR="00C66385" w:rsidRPr="00303F2D" w:rsidRDefault="00C66385" w:rsidP="00097066">
      <w:pPr>
        <w:ind w:left="0" w:firstLine="0"/>
        <w:rPr>
          <w:b/>
          <w:sz w:val="24"/>
          <w:szCs w:val="24"/>
          <w:lang w:val="en-US"/>
        </w:rPr>
      </w:pPr>
      <w:r w:rsidRPr="00097066">
        <w:rPr>
          <w:b/>
          <w:sz w:val="24"/>
          <w:szCs w:val="24"/>
        </w:rPr>
        <w:t>HASIL DAN PEMBAHASAN</w:t>
      </w:r>
    </w:p>
    <w:p w14:paraId="71A4AC8C" w14:textId="215E04AB" w:rsidR="00303F2D" w:rsidRPr="00303F2D" w:rsidRDefault="00DC32DF" w:rsidP="00303F2D">
      <w:pPr>
        <w:ind w:left="0" w:firstLine="0"/>
        <w:rPr>
          <w:b/>
          <w:bCs/>
          <w:sz w:val="24"/>
          <w:szCs w:val="24"/>
          <w:lang w:val="en-US"/>
        </w:rPr>
      </w:pPr>
      <w:r w:rsidRPr="00303F2D">
        <w:rPr>
          <w:b/>
          <w:bCs/>
          <w:sz w:val="24"/>
          <w:szCs w:val="24"/>
        </w:rPr>
        <w:t>Uji Asumsi Klasik</w:t>
      </w:r>
    </w:p>
    <w:p w14:paraId="6EDEA1BD" w14:textId="557C6C92" w:rsidR="00181975" w:rsidRPr="00303F2D" w:rsidRDefault="00DC32DF" w:rsidP="00303F2D">
      <w:pPr>
        <w:ind w:left="0" w:firstLine="0"/>
        <w:rPr>
          <w:b/>
          <w:bCs/>
          <w:sz w:val="24"/>
          <w:szCs w:val="24"/>
        </w:rPr>
      </w:pPr>
      <w:r w:rsidRPr="00303F2D">
        <w:rPr>
          <w:b/>
          <w:bCs/>
          <w:sz w:val="24"/>
          <w:szCs w:val="24"/>
        </w:rPr>
        <w:t>Uji Normalitas</w:t>
      </w:r>
    </w:p>
    <w:p w14:paraId="27E8B7E8" w14:textId="5844F5FB" w:rsidR="006F2108" w:rsidRPr="00097066" w:rsidRDefault="006F2108" w:rsidP="00097066">
      <w:pPr>
        <w:ind w:left="0" w:firstLine="0"/>
        <w:jc w:val="center"/>
        <w:rPr>
          <w:b/>
          <w:bCs/>
          <w:sz w:val="24"/>
          <w:szCs w:val="24"/>
        </w:rPr>
      </w:pPr>
      <w:r w:rsidRPr="00097066">
        <w:rPr>
          <w:b/>
          <w:bCs/>
          <w:sz w:val="24"/>
          <w:szCs w:val="24"/>
        </w:rPr>
        <w:t>Tabel 1 Hasil Uji Normalitas</w:t>
      </w:r>
    </w:p>
    <w:tbl>
      <w:tblPr>
        <w:tblStyle w:val="TableGrid"/>
        <w:tblW w:w="7964" w:type="dxa"/>
        <w:jc w:val="center"/>
        <w:tblLayout w:type="fixed"/>
        <w:tblLook w:val="0000" w:firstRow="0" w:lastRow="0" w:firstColumn="0" w:lastColumn="0" w:noHBand="0" w:noVBand="0"/>
      </w:tblPr>
      <w:tblGrid>
        <w:gridCol w:w="1444"/>
        <w:gridCol w:w="1223"/>
        <w:gridCol w:w="903"/>
        <w:gridCol w:w="1506"/>
        <w:gridCol w:w="851"/>
        <w:gridCol w:w="1134"/>
        <w:gridCol w:w="903"/>
      </w:tblGrid>
      <w:tr w:rsidR="006F2108" w:rsidRPr="00097066" w14:paraId="76B959E3" w14:textId="77777777" w:rsidTr="00303F2D">
        <w:trPr>
          <w:trHeight w:val="170"/>
          <w:jc w:val="center"/>
        </w:trPr>
        <w:tc>
          <w:tcPr>
            <w:tcW w:w="7964" w:type="dxa"/>
            <w:gridSpan w:val="7"/>
          </w:tcPr>
          <w:p w14:paraId="201C3F69" w14:textId="77777777" w:rsidR="006F2108" w:rsidRPr="00097066" w:rsidRDefault="006F2108" w:rsidP="00097066">
            <w:pPr>
              <w:autoSpaceDE w:val="0"/>
              <w:autoSpaceDN w:val="0"/>
              <w:adjustRightInd w:val="0"/>
              <w:ind w:left="0" w:firstLine="0"/>
              <w:jc w:val="center"/>
              <w:rPr>
                <w:rFonts w:eastAsia="Calibri"/>
                <w:color w:val="010205"/>
                <w:sz w:val="24"/>
                <w:szCs w:val="24"/>
                <w:lang w:eastAsia="en-US"/>
              </w:rPr>
            </w:pPr>
            <w:bookmarkStart w:id="2" w:name="_Hlk147172568"/>
            <w:r w:rsidRPr="00097066">
              <w:rPr>
                <w:rFonts w:eastAsia="Calibri"/>
                <w:b/>
                <w:bCs/>
                <w:color w:val="010205"/>
                <w:sz w:val="24"/>
                <w:szCs w:val="24"/>
                <w:lang w:eastAsia="en-US"/>
              </w:rPr>
              <w:t>One-Sample Kolmogorov-Smirnov Test</w:t>
            </w:r>
          </w:p>
        </w:tc>
      </w:tr>
      <w:tr w:rsidR="006F2108" w:rsidRPr="00097066" w14:paraId="4779CDE5" w14:textId="77777777" w:rsidTr="00303F2D">
        <w:trPr>
          <w:trHeight w:val="170"/>
          <w:jc w:val="center"/>
        </w:trPr>
        <w:tc>
          <w:tcPr>
            <w:tcW w:w="2667" w:type="dxa"/>
            <w:gridSpan w:val="2"/>
          </w:tcPr>
          <w:p w14:paraId="3FBA42E4" w14:textId="77777777" w:rsidR="006F2108" w:rsidRPr="00097066" w:rsidRDefault="006F2108" w:rsidP="00097066">
            <w:pPr>
              <w:autoSpaceDE w:val="0"/>
              <w:autoSpaceDN w:val="0"/>
              <w:adjustRightInd w:val="0"/>
              <w:ind w:left="0" w:firstLine="0"/>
              <w:jc w:val="left"/>
              <w:rPr>
                <w:rFonts w:eastAsia="Calibri"/>
                <w:sz w:val="24"/>
                <w:szCs w:val="24"/>
                <w:lang w:eastAsia="en-US"/>
              </w:rPr>
            </w:pPr>
          </w:p>
        </w:tc>
        <w:tc>
          <w:tcPr>
            <w:tcW w:w="903" w:type="dxa"/>
          </w:tcPr>
          <w:p w14:paraId="67A4EE2E" w14:textId="177E8002" w:rsidR="006F2108" w:rsidRPr="00303F2D" w:rsidRDefault="00303F2D" w:rsidP="00097066">
            <w:pPr>
              <w:autoSpaceDE w:val="0"/>
              <w:autoSpaceDN w:val="0"/>
              <w:adjustRightInd w:val="0"/>
              <w:ind w:left="0" w:firstLine="0"/>
              <w:jc w:val="center"/>
              <w:rPr>
                <w:rFonts w:eastAsia="Calibri"/>
                <w:b/>
                <w:sz w:val="24"/>
                <w:szCs w:val="24"/>
                <w:lang w:eastAsia="en-US"/>
              </w:rPr>
            </w:pPr>
            <w:r w:rsidRPr="00303F2D">
              <w:rPr>
                <w:rFonts w:eastAsia="Calibri"/>
                <w:b/>
                <w:sz w:val="24"/>
                <w:szCs w:val="24"/>
                <w:lang w:eastAsia="en-US"/>
              </w:rPr>
              <w:t>Npl</w:t>
            </w:r>
          </w:p>
        </w:tc>
        <w:tc>
          <w:tcPr>
            <w:tcW w:w="1506" w:type="dxa"/>
          </w:tcPr>
          <w:p w14:paraId="3D52543F" w14:textId="345AF428" w:rsidR="006F2108" w:rsidRPr="00303F2D" w:rsidRDefault="00303F2D" w:rsidP="00097066">
            <w:pPr>
              <w:autoSpaceDE w:val="0"/>
              <w:autoSpaceDN w:val="0"/>
              <w:adjustRightInd w:val="0"/>
              <w:ind w:left="0" w:firstLine="0"/>
              <w:jc w:val="center"/>
              <w:rPr>
                <w:rFonts w:eastAsia="Calibri"/>
                <w:b/>
                <w:sz w:val="24"/>
                <w:szCs w:val="24"/>
                <w:lang w:eastAsia="en-US"/>
              </w:rPr>
            </w:pPr>
            <w:r w:rsidRPr="00303F2D">
              <w:rPr>
                <w:rFonts w:eastAsia="Calibri"/>
                <w:b/>
                <w:sz w:val="24"/>
                <w:szCs w:val="24"/>
                <w:lang w:eastAsia="en-US"/>
              </w:rPr>
              <w:t>Komisaris Independen</w:t>
            </w:r>
          </w:p>
        </w:tc>
        <w:tc>
          <w:tcPr>
            <w:tcW w:w="851" w:type="dxa"/>
          </w:tcPr>
          <w:p w14:paraId="1A76C031" w14:textId="0A9C99AB" w:rsidR="006F2108" w:rsidRPr="00303F2D" w:rsidRDefault="00303F2D" w:rsidP="00097066">
            <w:pPr>
              <w:autoSpaceDE w:val="0"/>
              <w:autoSpaceDN w:val="0"/>
              <w:adjustRightInd w:val="0"/>
              <w:ind w:left="0" w:firstLine="0"/>
              <w:jc w:val="center"/>
              <w:rPr>
                <w:rFonts w:eastAsia="Calibri"/>
                <w:b/>
                <w:sz w:val="24"/>
                <w:szCs w:val="24"/>
                <w:lang w:eastAsia="en-US"/>
              </w:rPr>
            </w:pPr>
            <w:r w:rsidRPr="00303F2D">
              <w:rPr>
                <w:rFonts w:eastAsia="Calibri"/>
                <w:b/>
                <w:sz w:val="24"/>
                <w:szCs w:val="24"/>
                <w:lang w:eastAsia="en-US"/>
              </w:rPr>
              <w:t>Roa</w:t>
            </w:r>
          </w:p>
        </w:tc>
        <w:tc>
          <w:tcPr>
            <w:tcW w:w="1134" w:type="dxa"/>
          </w:tcPr>
          <w:p w14:paraId="58B7E055" w14:textId="44812244" w:rsidR="006F2108" w:rsidRPr="00303F2D" w:rsidRDefault="00303F2D" w:rsidP="00097066">
            <w:pPr>
              <w:autoSpaceDE w:val="0"/>
              <w:autoSpaceDN w:val="0"/>
              <w:adjustRightInd w:val="0"/>
              <w:ind w:left="0" w:firstLine="0"/>
              <w:jc w:val="center"/>
              <w:rPr>
                <w:rFonts w:eastAsia="Calibri"/>
                <w:b/>
                <w:sz w:val="24"/>
                <w:szCs w:val="24"/>
                <w:lang w:eastAsia="en-US"/>
              </w:rPr>
            </w:pPr>
            <w:r w:rsidRPr="00303F2D">
              <w:rPr>
                <w:rFonts w:eastAsia="Calibri"/>
                <w:b/>
                <w:sz w:val="24"/>
                <w:szCs w:val="24"/>
                <w:lang w:eastAsia="en-US"/>
              </w:rPr>
              <w:t>Capital</w:t>
            </w:r>
          </w:p>
        </w:tc>
        <w:tc>
          <w:tcPr>
            <w:tcW w:w="903" w:type="dxa"/>
          </w:tcPr>
          <w:p w14:paraId="2125F020" w14:textId="5D00E894" w:rsidR="006F2108" w:rsidRPr="00303F2D" w:rsidRDefault="00303F2D" w:rsidP="00097066">
            <w:pPr>
              <w:autoSpaceDE w:val="0"/>
              <w:autoSpaceDN w:val="0"/>
              <w:adjustRightInd w:val="0"/>
              <w:ind w:left="0" w:firstLine="0"/>
              <w:jc w:val="center"/>
              <w:rPr>
                <w:rFonts w:eastAsia="Calibri"/>
                <w:b/>
                <w:sz w:val="24"/>
                <w:szCs w:val="24"/>
                <w:lang w:eastAsia="en-US"/>
              </w:rPr>
            </w:pPr>
            <w:r w:rsidRPr="00303F2D">
              <w:rPr>
                <w:rFonts w:eastAsia="Calibri"/>
                <w:b/>
                <w:sz w:val="24"/>
                <w:szCs w:val="24"/>
                <w:lang w:eastAsia="en-US"/>
              </w:rPr>
              <w:t>Y</w:t>
            </w:r>
          </w:p>
        </w:tc>
      </w:tr>
      <w:tr w:rsidR="006F2108" w:rsidRPr="00097066" w14:paraId="00713FE2" w14:textId="77777777" w:rsidTr="00303F2D">
        <w:trPr>
          <w:trHeight w:val="170"/>
          <w:jc w:val="center"/>
        </w:trPr>
        <w:tc>
          <w:tcPr>
            <w:tcW w:w="2667" w:type="dxa"/>
            <w:gridSpan w:val="2"/>
          </w:tcPr>
          <w:p w14:paraId="26DCB4F7" w14:textId="77777777" w:rsidR="006F2108" w:rsidRPr="00097066" w:rsidRDefault="006F2108" w:rsidP="00097066">
            <w:pPr>
              <w:autoSpaceDE w:val="0"/>
              <w:autoSpaceDN w:val="0"/>
              <w:adjustRightInd w:val="0"/>
              <w:ind w:left="0" w:firstLine="0"/>
              <w:jc w:val="left"/>
              <w:rPr>
                <w:rFonts w:eastAsia="Calibri"/>
                <w:sz w:val="24"/>
                <w:szCs w:val="24"/>
                <w:lang w:eastAsia="en-US"/>
              </w:rPr>
            </w:pPr>
            <w:r w:rsidRPr="00097066">
              <w:rPr>
                <w:rFonts w:eastAsia="Calibri"/>
                <w:sz w:val="24"/>
                <w:szCs w:val="24"/>
                <w:lang w:eastAsia="en-US"/>
              </w:rPr>
              <w:t>N</w:t>
            </w:r>
          </w:p>
        </w:tc>
        <w:tc>
          <w:tcPr>
            <w:tcW w:w="903" w:type="dxa"/>
          </w:tcPr>
          <w:p w14:paraId="7C173B59" w14:textId="77777777" w:rsidR="006F2108" w:rsidRPr="00097066" w:rsidRDefault="006F2108" w:rsidP="00097066">
            <w:pPr>
              <w:autoSpaceDE w:val="0"/>
              <w:autoSpaceDN w:val="0"/>
              <w:adjustRightInd w:val="0"/>
              <w:ind w:left="0" w:firstLine="0"/>
              <w:jc w:val="right"/>
              <w:rPr>
                <w:rFonts w:eastAsia="Calibri"/>
                <w:sz w:val="24"/>
                <w:szCs w:val="24"/>
                <w:lang w:eastAsia="en-US"/>
              </w:rPr>
            </w:pPr>
            <w:r w:rsidRPr="00097066">
              <w:rPr>
                <w:rFonts w:eastAsia="Calibri"/>
                <w:sz w:val="24"/>
                <w:szCs w:val="24"/>
                <w:lang w:eastAsia="en-US"/>
              </w:rPr>
              <w:t>33</w:t>
            </w:r>
          </w:p>
        </w:tc>
        <w:tc>
          <w:tcPr>
            <w:tcW w:w="1506" w:type="dxa"/>
          </w:tcPr>
          <w:p w14:paraId="224CBA72" w14:textId="77777777" w:rsidR="006F2108" w:rsidRPr="00097066" w:rsidRDefault="006F2108" w:rsidP="00097066">
            <w:pPr>
              <w:autoSpaceDE w:val="0"/>
              <w:autoSpaceDN w:val="0"/>
              <w:adjustRightInd w:val="0"/>
              <w:ind w:left="0" w:firstLine="0"/>
              <w:jc w:val="right"/>
              <w:rPr>
                <w:rFonts w:eastAsia="Calibri"/>
                <w:sz w:val="24"/>
                <w:szCs w:val="24"/>
                <w:lang w:eastAsia="en-US"/>
              </w:rPr>
            </w:pPr>
            <w:r w:rsidRPr="00097066">
              <w:rPr>
                <w:rFonts w:eastAsia="Calibri"/>
                <w:sz w:val="24"/>
                <w:szCs w:val="24"/>
                <w:lang w:eastAsia="en-US"/>
              </w:rPr>
              <w:t>33</w:t>
            </w:r>
          </w:p>
        </w:tc>
        <w:tc>
          <w:tcPr>
            <w:tcW w:w="851" w:type="dxa"/>
          </w:tcPr>
          <w:p w14:paraId="74997DA7" w14:textId="77777777" w:rsidR="006F2108" w:rsidRPr="00097066" w:rsidRDefault="006F2108" w:rsidP="00097066">
            <w:pPr>
              <w:autoSpaceDE w:val="0"/>
              <w:autoSpaceDN w:val="0"/>
              <w:adjustRightInd w:val="0"/>
              <w:ind w:left="0" w:firstLine="0"/>
              <w:jc w:val="right"/>
              <w:rPr>
                <w:rFonts w:eastAsia="Calibri"/>
                <w:sz w:val="24"/>
                <w:szCs w:val="24"/>
                <w:lang w:eastAsia="en-US"/>
              </w:rPr>
            </w:pPr>
            <w:r w:rsidRPr="00097066">
              <w:rPr>
                <w:rFonts w:eastAsia="Calibri"/>
                <w:sz w:val="24"/>
                <w:szCs w:val="24"/>
                <w:lang w:eastAsia="en-US"/>
              </w:rPr>
              <w:t>33</w:t>
            </w:r>
          </w:p>
        </w:tc>
        <w:tc>
          <w:tcPr>
            <w:tcW w:w="1134" w:type="dxa"/>
          </w:tcPr>
          <w:p w14:paraId="3F76727E" w14:textId="77777777" w:rsidR="006F2108" w:rsidRPr="00097066" w:rsidRDefault="006F2108" w:rsidP="00097066">
            <w:pPr>
              <w:autoSpaceDE w:val="0"/>
              <w:autoSpaceDN w:val="0"/>
              <w:adjustRightInd w:val="0"/>
              <w:ind w:left="0" w:firstLine="0"/>
              <w:jc w:val="right"/>
              <w:rPr>
                <w:rFonts w:eastAsia="Calibri"/>
                <w:sz w:val="24"/>
                <w:szCs w:val="24"/>
                <w:lang w:eastAsia="en-US"/>
              </w:rPr>
            </w:pPr>
            <w:r w:rsidRPr="00097066">
              <w:rPr>
                <w:rFonts w:eastAsia="Calibri"/>
                <w:sz w:val="24"/>
                <w:szCs w:val="24"/>
                <w:lang w:eastAsia="en-US"/>
              </w:rPr>
              <w:t>33</w:t>
            </w:r>
          </w:p>
        </w:tc>
        <w:tc>
          <w:tcPr>
            <w:tcW w:w="903" w:type="dxa"/>
          </w:tcPr>
          <w:p w14:paraId="3E132B4F" w14:textId="77777777" w:rsidR="006F2108" w:rsidRPr="00097066" w:rsidRDefault="006F2108" w:rsidP="00097066">
            <w:pPr>
              <w:autoSpaceDE w:val="0"/>
              <w:autoSpaceDN w:val="0"/>
              <w:adjustRightInd w:val="0"/>
              <w:ind w:left="0" w:firstLine="0"/>
              <w:jc w:val="right"/>
              <w:rPr>
                <w:rFonts w:eastAsia="Calibri"/>
                <w:sz w:val="24"/>
                <w:szCs w:val="24"/>
                <w:lang w:eastAsia="en-US"/>
              </w:rPr>
            </w:pPr>
            <w:r w:rsidRPr="00097066">
              <w:rPr>
                <w:rFonts w:eastAsia="Calibri"/>
                <w:sz w:val="24"/>
                <w:szCs w:val="24"/>
                <w:lang w:eastAsia="en-US"/>
              </w:rPr>
              <w:t>33</w:t>
            </w:r>
          </w:p>
        </w:tc>
      </w:tr>
      <w:tr w:rsidR="006F2108" w:rsidRPr="00097066" w14:paraId="362E284B" w14:textId="77777777" w:rsidTr="00303F2D">
        <w:trPr>
          <w:trHeight w:val="170"/>
          <w:jc w:val="center"/>
        </w:trPr>
        <w:tc>
          <w:tcPr>
            <w:tcW w:w="1444" w:type="dxa"/>
            <w:vMerge w:val="restart"/>
          </w:tcPr>
          <w:p w14:paraId="13AC6DD6" w14:textId="77777777" w:rsidR="006F2108" w:rsidRPr="00097066" w:rsidRDefault="006F2108" w:rsidP="00097066">
            <w:pPr>
              <w:autoSpaceDE w:val="0"/>
              <w:autoSpaceDN w:val="0"/>
              <w:adjustRightInd w:val="0"/>
              <w:ind w:left="0" w:firstLine="0"/>
              <w:jc w:val="left"/>
              <w:rPr>
                <w:rFonts w:eastAsia="Calibri"/>
                <w:sz w:val="24"/>
                <w:szCs w:val="24"/>
                <w:lang w:eastAsia="en-US"/>
              </w:rPr>
            </w:pPr>
            <w:bookmarkStart w:id="3" w:name="_Hlk147172689"/>
            <w:bookmarkEnd w:id="2"/>
            <w:r w:rsidRPr="00097066">
              <w:rPr>
                <w:rFonts w:eastAsia="Calibri"/>
                <w:sz w:val="24"/>
                <w:szCs w:val="24"/>
                <w:lang w:eastAsia="en-US"/>
              </w:rPr>
              <w:t>Normal Parameters</w:t>
            </w:r>
            <w:r w:rsidRPr="00097066">
              <w:rPr>
                <w:rFonts w:eastAsia="Calibri"/>
                <w:sz w:val="24"/>
                <w:szCs w:val="24"/>
                <w:vertAlign w:val="superscript"/>
                <w:lang w:eastAsia="en-US"/>
              </w:rPr>
              <w:t>a,b</w:t>
            </w:r>
          </w:p>
        </w:tc>
        <w:tc>
          <w:tcPr>
            <w:tcW w:w="1223" w:type="dxa"/>
          </w:tcPr>
          <w:p w14:paraId="58FE6F14" w14:textId="77777777" w:rsidR="006F2108" w:rsidRPr="00097066" w:rsidRDefault="006F2108" w:rsidP="00097066">
            <w:pPr>
              <w:autoSpaceDE w:val="0"/>
              <w:autoSpaceDN w:val="0"/>
              <w:adjustRightInd w:val="0"/>
              <w:ind w:left="0" w:firstLine="0"/>
              <w:jc w:val="left"/>
              <w:rPr>
                <w:rFonts w:eastAsia="Calibri"/>
                <w:sz w:val="24"/>
                <w:szCs w:val="24"/>
                <w:lang w:eastAsia="en-US"/>
              </w:rPr>
            </w:pPr>
            <w:r w:rsidRPr="00097066">
              <w:rPr>
                <w:rFonts w:eastAsia="Calibri"/>
                <w:sz w:val="24"/>
                <w:szCs w:val="24"/>
                <w:lang w:eastAsia="en-US"/>
              </w:rPr>
              <w:t>Mean</w:t>
            </w:r>
          </w:p>
        </w:tc>
        <w:tc>
          <w:tcPr>
            <w:tcW w:w="903" w:type="dxa"/>
          </w:tcPr>
          <w:p w14:paraId="33F82A6B" w14:textId="77777777" w:rsidR="006F2108" w:rsidRPr="00097066" w:rsidRDefault="006F2108" w:rsidP="00097066">
            <w:pPr>
              <w:autoSpaceDE w:val="0"/>
              <w:autoSpaceDN w:val="0"/>
              <w:adjustRightInd w:val="0"/>
              <w:ind w:left="0" w:firstLine="0"/>
              <w:jc w:val="right"/>
              <w:rPr>
                <w:rFonts w:eastAsia="Calibri"/>
                <w:sz w:val="24"/>
                <w:szCs w:val="24"/>
                <w:lang w:eastAsia="en-US"/>
              </w:rPr>
            </w:pPr>
            <w:r w:rsidRPr="00097066">
              <w:rPr>
                <w:rFonts w:eastAsia="Calibri"/>
                <w:sz w:val="24"/>
                <w:szCs w:val="24"/>
                <w:lang w:eastAsia="en-US"/>
              </w:rPr>
              <w:t>2,1619</w:t>
            </w:r>
          </w:p>
        </w:tc>
        <w:tc>
          <w:tcPr>
            <w:tcW w:w="1506" w:type="dxa"/>
          </w:tcPr>
          <w:p w14:paraId="52802C6D" w14:textId="77777777" w:rsidR="006F2108" w:rsidRPr="00097066" w:rsidRDefault="006F2108" w:rsidP="00097066">
            <w:pPr>
              <w:autoSpaceDE w:val="0"/>
              <w:autoSpaceDN w:val="0"/>
              <w:adjustRightInd w:val="0"/>
              <w:ind w:left="0" w:firstLine="0"/>
              <w:jc w:val="right"/>
              <w:rPr>
                <w:rFonts w:eastAsia="Calibri"/>
                <w:sz w:val="24"/>
                <w:szCs w:val="24"/>
                <w:lang w:eastAsia="en-US"/>
              </w:rPr>
            </w:pPr>
            <w:r w:rsidRPr="00097066">
              <w:rPr>
                <w:rFonts w:eastAsia="Calibri"/>
                <w:sz w:val="24"/>
                <w:szCs w:val="24"/>
                <w:lang w:eastAsia="en-US"/>
              </w:rPr>
              <w:t>41,3212</w:t>
            </w:r>
          </w:p>
        </w:tc>
        <w:tc>
          <w:tcPr>
            <w:tcW w:w="851" w:type="dxa"/>
          </w:tcPr>
          <w:p w14:paraId="1A353E79" w14:textId="77777777" w:rsidR="006F2108" w:rsidRPr="00097066" w:rsidRDefault="006F2108" w:rsidP="00097066">
            <w:pPr>
              <w:autoSpaceDE w:val="0"/>
              <w:autoSpaceDN w:val="0"/>
              <w:adjustRightInd w:val="0"/>
              <w:ind w:left="0" w:firstLine="0"/>
              <w:jc w:val="right"/>
              <w:rPr>
                <w:rFonts w:eastAsia="Calibri"/>
                <w:sz w:val="24"/>
                <w:szCs w:val="24"/>
                <w:lang w:eastAsia="en-US"/>
              </w:rPr>
            </w:pPr>
            <w:r w:rsidRPr="00097066">
              <w:rPr>
                <w:rFonts w:eastAsia="Calibri"/>
                <w:sz w:val="24"/>
                <w:szCs w:val="24"/>
                <w:lang w:eastAsia="en-US"/>
              </w:rPr>
              <w:t>1,2785</w:t>
            </w:r>
          </w:p>
        </w:tc>
        <w:tc>
          <w:tcPr>
            <w:tcW w:w="1134" w:type="dxa"/>
          </w:tcPr>
          <w:p w14:paraId="07AA5884" w14:textId="77777777" w:rsidR="006F2108" w:rsidRPr="00097066" w:rsidRDefault="006F2108" w:rsidP="00097066">
            <w:pPr>
              <w:autoSpaceDE w:val="0"/>
              <w:autoSpaceDN w:val="0"/>
              <w:adjustRightInd w:val="0"/>
              <w:ind w:left="0" w:firstLine="0"/>
              <w:jc w:val="right"/>
              <w:rPr>
                <w:rFonts w:eastAsia="Calibri"/>
                <w:sz w:val="24"/>
                <w:szCs w:val="24"/>
                <w:lang w:eastAsia="en-US"/>
              </w:rPr>
            </w:pPr>
            <w:r w:rsidRPr="00097066">
              <w:rPr>
                <w:rFonts w:eastAsia="Calibri"/>
                <w:sz w:val="24"/>
                <w:szCs w:val="24"/>
                <w:lang w:eastAsia="en-US"/>
              </w:rPr>
              <w:t>22,4121</w:t>
            </w:r>
          </w:p>
        </w:tc>
        <w:tc>
          <w:tcPr>
            <w:tcW w:w="903" w:type="dxa"/>
          </w:tcPr>
          <w:p w14:paraId="2D12680B" w14:textId="77777777" w:rsidR="006F2108" w:rsidRPr="00097066" w:rsidRDefault="006F2108" w:rsidP="00097066">
            <w:pPr>
              <w:autoSpaceDE w:val="0"/>
              <w:autoSpaceDN w:val="0"/>
              <w:adjustRightInd w:val="0"/>
              <w:ind w:left="0" w:firstLine="0"/>
              <w:jc w:val="right"/>
              <w:rPr>
                <w:rFonts w:eastAsia="Calibri"/>
                <w:sz w:val="24"/>
                <w:szCs w:val="24"/>
                <w:lang w:eastAsia="en-US"/>
              </w:rPr>
            </w:pPr>
            <w:r w:rsidRPr="00097066">
              <w:rPr>
                <w:rFonts w:eastAsia="Calibri"/>
                <w:sz w:val="24"/>
                <w:szCs w:val="24"/>
                <w:lang w:eastAsia="en-US"/>
              </w:rPr>
              <w:t>97,4606</w:t>
            </w:r>
          </w:p>
        </w:tc>
      </w:tr>
      <w:tr w:rsidR="006F2108" w:rsidRPr="00097066" w14:paraId="6703707E" w14:textId="77777777" w:rsidTr="00303F2D">
        <w:trPr>
          <w:trHeight w:val="170"/>
          <w:jc w:val="center"/>
        </w:trPr>
        <w:tc>
          <w:tcPr>
            <w:tcW w:w="1444" w:type="dxa"/>
            <w:vMerge/>
          </w:tcPr>
          <w:p w14:paraId="23CC84DD" w14:textId="77777777" w:rsidR="006F2108" w:rsidRPr="00097066" w:rsidRDefault="006F2108" w:rsidP="00097066">
            <w:pPr>
              <w:autoSpaceDE w:val="0"/>
              <w:autoSpaceDN w:val="0"/>
              <w:adjustRightInd w:val="0"/>
              <w:ind w:left="0" w:firstLine="0"/>
              <w:jc w:val="left"/>
              <w:rPr>
                <w:rFonts w:eastAsia="Calibri"/>
                <w:sz w:val="24"/>
                <w:szCs w:val="24"/>
                <w:lang w:eastAsia="en-US"/>
              </w:rPr>
            </w:pPr>
          </w:p>
        </w:tc>
        <w:tc>
          <w:tcPr>
            <w:tcW w:w="1223" w:type="dxa"/>
          </w:tcPr>
          <w:p w14:paraId="7811CDED" w14:textId="77777777" w:rsidR="006F2108" w:rsidRPr="00097066" w:rsidRDefault="006F2108" w:rsidP="00097066">
            <w:pPr>
              <w:autoSpaceDE w:val="0"/>
              <w:autoSpaceDN w:val="0"/>
              <w:adjustRightInd w:val="0"/>
              <w:ind w:left="0" w:firstLine="0"/>
              <w:jc w:val="left"/>
              <w:rPr>
                <w:rFonts w:eastAsia="Calibri"/>
                <w:sz w:val="24"/>
                <w:szCs w:val="24"/>
                <w:lang w:eastAsia="en-US"/>
              </w:rPr>
            </w:pPr>
            <w:r w:rsidRPr="00097066">
              <w:rPr>
                <w:rFonts w:eastAsia="Calibri"/>
                <w:sz w:val="24"/>
                <w:szCs w:val="24"/>
                <w:lang w:eastAsia="en-US"/>
              </w:rPr>
              <w:t>Std. Deviation</w:t>
            </w:r>
          </w:p>
        </w:tc>
        <w:tc>
          <w:tcPr>
            <w:tcW w:w="903" w:type="dxa"/>
          </w:tcPr>
          <w:p w14:paraId="5E15ED6A" w14:textId="77777777" w:rsidR="006F2108" w:rsidRPr="00097066" w:rsidRDefault="006F2108" w:rsidP="00097066">
            <w:pPr>
              <w:autoSpaceDE w:val="0"/>
              <w:autoSpaceDN w:val="0"/>
              <w:adjustRightInd w:val="0"/>
              <w:ind w:left="0" w:firstLine="0"/>
              <w:jc w:val="right"/>
              <w:rPr>
                <w:rFonts w:eastAsia="Calibri"/>
                <w:sz w:val="24"/>
                <w:szCs w:val="24"/>
                <w:lang w:eastAsia="en-US"/>
              </w:rPr>
            </w:pPr>
            <w:r w:rsidRPr="00097066">
              <w:rPr>
                <w:rFonts w:eastAsia="Calibri"/>
                <w:sz w:val="24"/>
                <w:szCs w:val="24"/>
                <w:lang w:eastAsia="en-US"/>
              </w:rPr>
              <w:t>,75379</w:t>
            </w:r>
          </w:p>
        </w:tc>
        <w:tc>
          <w:tcPr>
            <w:tcW w:w="1506" w:type="dxa"/>
          </w:tcPr>
          <w:p w14:paraId="0A41E024" w14:textId="77777777" w:rsidR="006F2108" w:rsidRPr="00097066" w:rsidRDefault="006F2108" w:rsidP="00097066">
            <w:pPr>
              <w:autoSpaceDE w:val="0"/>
              <w:autoSpaceDN w:val="0"/>
              <w:adjustRightInd w:val="0"/>
              <w:ind w:left="0" w:firstLine="0"/>
              <w:jc w:val="right"/>
              <w:rPr>
                <w:rFonts w:eastAsia="Calibri"/>
                <w:sz w:val="24"/>
                <w:szCs w:val="24"/>
                <w:lang w:eastAsia="en-US"/>
              </w:rPr>
            </w:pPr>
            <w:r w:rsidRPr="00097066">
              <w:rPr>
                <w:rFonts w:eastAsia="Calibri"/>
                <w:sz w:val="24"/>
                <w:szCs w:val="24"/>
                <w:lang w:eastAsia="en-US"/>
              </w:rPr>
              <w:t>10,69964</w:t>
            </w:r>
          </w:p>
        </w:tc>
        <w:tc>
          <w:tcPr>
            <w:tcW w:w="851" w:type="dxa"/>
          </w:tcPr>
          <w:p w14:paraId="1C407662" w14:textId="77777777" w:rsidR="006F2108" w:rsidRPr="00097066" w:rsidRDefault="006F2108" w:rsidP="00097066">
            <w:pPr>
              <w:autoSpaceDE w:val="0"/>
              <w:autoSpaceDN w:val="0"/>
              <w:adjustRightInd w:val="0"/>
              <w:ind w:left="0" w:firstLine="0"/>
              <w:jc w:val="right"/>
              <w:rPr>
                <w:rFonts w:eastAsia="Calibri"/>
                <w:sz w:val="24"/>
                <w:szCs w:val="24"/>
                <w:lang w:eastAsia="en-US"/>
              </w:rPr>
            </w:pPr>
            <w:r w:rsidRPr="00097066">
              <w:rPr>
                <w:rFonts w:eastAsia="Calibri"/>
                <w:sz w:val="24"/>
                <w:szCs w:val="24"/>
                <w:lang w:eastAsia="en-US"/>
              </w:rPr>
              <w:t>,83967</w:t>
            </w:r>
          </w:p>
        </w:tc>
        <w:tc>
          <w:tcPr>
            <w:tcW w:w="1134" w:type="dxa"/>
          </w:tcPr>
          <w:p w14:paraId="700A5501" w14:textId="77777777" w:rsidR="006F2108" w:rsidRPr="00097066" w:rsidRDefault="006F2108" w:rsidP="00097066">
            <w:pPr>
              <w:autoSpaceDE w:val="0"/>
              <w:autoSpaceDN w:val="0"/>
              <w:adjustRightInd w:val="0"/>
              <w:ind w:left="0" w:firstLine="0"/>
              <w:jc w:val="right"/>
              <w:rPr>
                <w:rFonts w:eastAsia="Calibri"/>
                <w:sz w:val="24"/>
                <w:szCs w:val="24"/>
                <w:lang w:eastAsia="en-US"/>
              </w:rPr>
            </w:pPr>
            <w:r w:rsidRPr="00097066">
              <w:rPr>
                <w:rFonts w:eastAsia="Calibri"/>
                <w:sz w:val="24"/>
                <w:szCs w:val="24"/>
                <w:lang w:eastAsia="en-US"/>
              </w:rPr>
              <w:t>5,51559</w:t>
            </w:r>
          </w:p>
        </w:tc>
        <w:tc>
          <w:tcPr>
            <w:tcW w:w="903" w:type="dxa"/>
          </w:tcPr>
          <w:p w14:paraId="576C0B89" w14:textId="77777777" w:rsidR="006F2108" w:rsidRPr="00097066" w:rsidRDefault="006F2108" w:rsidP="00097066">
            <w:pPr>
              <w:autoSpaceDE w:val="0"/>
              <w:autoSpaceDN w:val="0"/>
              <w:adjustRightInd w:val="0"/>
              <w:ind w:left="0" w:firstLine="0"/>
              <w:jc w:val="right"/>
              <w:rPr>
                <w:rFonts w:eastAsia="Calibri"/>
                <w:sz w:val="24"/>
                <w:szCs w:val="24"/>
                <w:lang w:eastAsia="en-US"/>
              </w:rPr>
            </w:pPr>
            <w:r w:rsidRPr="00097066">
              <w:rPr>
                <w:rFonts w:eastAsia="Calibri"/>
                <w:sz w:val="24"/>
                <w:szCs w:val="24"/>
                <w:lang w:eastAsia="en-US"/>
              </w:rPr>
              <w:t>27,13367</w:t>
            </w:r>
          </w:p>
        </w:tc>
      </w:tr>
      <w:tr w:rsidR="006F2108" w:rsidRPr="00097066" w14:paraId="37DB538B" w14:textId="77777777" w:rsidTr="00303F2D">
        <w:trPr>
          <w:trHeight w:val="170"/>
          <w:jc w:val="center"/>
        </w:trPr>
        <w:tc>
          <w:tcPr>
            <w:tcW w:w="1444" w:type="dxa"/>
            <w:vMerge w:val="restart"/>
          </w:tcPr>
          <w:p w14:paraId="09FF76EE" w14:textId="77777777" w:rsidR="006F2108" w:rsidRPr="00097066" w:rsidRDefault="006F2108" w:rsidP="00097066">
            <w:pPr>
              <w:autoSpaceDE w:val="0"/>
              <w:autoSpaceDN w:val="0"/>
              <w:adjustRightInd w:val="0"/>
              <w:ind w:left="0" w:firstLine="0"/>
              <w:jc w:val="left"/>
              <w:rPr>
                <w:rFonts w:eastAsia="Calibri"/>
                <w:sz w:val="24"/>
                <w:szCs w:val="24"/>
                <w:lang w:eastAsia="en-US"/>
              </w:rPr>
            </w:pPr>
            <w:r w:rsidRPr="00097066">
              <w:rPr>
                <w:rFonts w:eastAsia="Calibri"/>
                <w:sz w:val="24"/>
                <w:szCs w:val="24"/>
                <w:lang w:eastAsia="en-US"/>
              </w:rPr>
              <w:t>Most Extreme Differences</w:t>
            </w:r>
          </w:p>
        </w:tc>
        <w:tc>
          <w:tcPr>
            <w:tcW w:w="1223" w:type="dxa"/>
          </w:tcPr>
          <w:p w14:paraId="2882442E" w14:textId="77777777" w:rsidR="006F2108" w:rsidRPr="00097066" w:rsidRDefault="006F2108" w:rsidP="00097066">
            <w:pPr>
              <w:autoSpaceDE w:val="0"/>
              <w:autoSpaceDN w:val="0"/>
              <w:adjustRightInd w:val="0"/>
              <w:ind w:left="0" w:firstLine="0"/>
              <w:jc w:val="left"/>
              <w:rPr>
                <w:rFonts w:eastAsia="Calibri"/>
                <w:sz w:val="24"/>
                <w:szCs w:val="24"/>
                <w:lang w:eastAsia="en-US"/>
              </w:rPr>
            </w:pPr>
            <w:r w:rsidRPr="00097066">
              <w:rPr>
                <w:rFonts w:eastAsia="Calibri"/>
                <w:sz w:val="24"/>
                <w:szCs w:val="24"/>
                <w:lang w:eastAsia="en-US"/>
              </w:rPr>
              <w:t>Absolute</w:t>
            </w:r>
          </w:p>
        </w:tc>
        <w:tc>
          <w:tcPr>
            <w:tcW w:w="903" w:type="dxa"/>
          </w:tcPr>
          <w:p w14:paraId="287E69A3" w14:textId="77777777" w:rsidR="006F2108" w:rsidRPr="00097066" w:rsidRDefault="006F2108" w:rsidP="00097066">
            <w:pPr>
              <w:autoSpaceDE w:val="0"/>
              <w:autoSpaceDN w:val="0"/>
              <w:adjustRightInd w:val="0"/>
              <w:ind w:left="0" w:firstLine="0"/>
              <w:jc w:val="right"/>
              <w:rPr>
                <w:rFonts w:eastAsia="Calibri"/>
                <w:sz w:val="24"/>
                <w:szCs w:val="24"/>
                <w:lang w:eastAsia="en-US"/>
              </w:rPr>
            </w:pPr>
            <w:r w:rsidRPr="00097066">
              <w:rPr>
                <w:rFonts w:eastAsia="Calibri"/>
                <w:sz w:val="24"/>
                <w:szCs w:val="24"/>
                <w:lang w:eastAsia="en-US"/>
              </w:rPr>
              <w:t>,100</w:t>
            </w:r>
          </w:p>
        </w:tc>
        <w:tc>
          <w:tcPr>
            <w:tcW w:w="1506" w:type="dxa"/>
          </w:tcPr>
          <w:p w14:paraId="14A74C4A" w14:textId="77777777" w:rsidR="006F2108" w:rsidRPr="00097066" w:rsidRDefault="006F2108" w:rsidP="00097066">
            <w:pPr>
              <w:autoSpaceDE w:val="0"/>
              <w:autoSpaceDN w:val="0"/>
              <w:adjustRightInd w:val="0"/>
              <w:ind w:left="0" w:firstLine="0"/>
              <w:jc w:val="right"/>
              <w:rPr>
                <w:rFonts w:eastAsia="Calibri"/>
                <w:sz w:val="24"/>
                <w:szCs w:val="24"/>
                <w:lang w:eastAsia="en-US"/>
              </w:rPr>
            </w:pPr>
            <w:r w:rsidRPr="00097066">
              <w:rPr>
                <w:rFonts w:eastAsia="Calibri"/>
                <w:sz w:val="24"/>
                <w:szCs w:val="24"/>
                <w:lang w:eastAsia="en-US"/>
              </w:rPr>
              <w:t>,125</w:t>
            </w:r>
          </w:p>
        </w:tc>
        <w:tc>
          <w:tcPr>
            <w:tcW w:w="851" w:type="dxa"/>
          </w:tcPr>
          <w:p w14:paraId="71265D97" w14:textId="77777777" w:rsidR="006F2108" w:rsidRPr="00097066" w:rsidRDefault="006F2108" w:rsidP="00097066">
            <w:pPr>
              <w:autoSpaceDE w:val="0"/>
              <w:autoSpaceDN w:val="0"/>
              <w:adjustRightInd w:val="0"/>
              <w:ind w:left="0" w:firstLine="0"/>
              <w:jc w:val="right"/>
              <w:rPr>
                <w:rFonts w:eastAsia="Calibri"/>
                <w:sz w:val="24"/>
                <w:szCs w:val="24"/>
                <w:lang w:eastAsia="en-US"/>
              </w:rPr>
            </w:pPr>
            <w:r w:rsidRPr="00097066">
              <w:rPr>
                <w:rFonts w:eastAsia="Calibri"/>
                <w:sz w:val="24"/>
                <w:szCs w:val="24"/>
                <w:lang w:eastAsia="en-US"/>
              </w:rPr>
              <w:t>,088</w:t>
            </w:r>
          </w:p>
        </w:tc>
        <w:tc>
          <w:tcPr>
            <w:tcW w:w="1134" w:type="dxa"/>
          </w:tcPr>
          <w:p w14:paraId="67E15839" w14:textId="77777777" w:rsidR="006F2108" w:rsidRPr="00097066" w:rsidRDefault="006F2108" w:rsidP="00097066">
            <w:pPr>
              <w:autoSpaceDE w:val="0"/>
              <w:autoSpaceDN w:val="0"/>
              <w:adjustRightInd w:val="0"/>
              <w:ind w:left="0" w:firstLine="0"/>
              <w:jc w:val="right"/>
              <w:rPr>
                <w:rFonts w:eastAsia="Calibri"/>
                <w:sz w:val="24"/>
                <w:szCs w:val="24"/>
                <w:lang w:eastAsia="en-US"/>
              </w:rPr>
            </w:pPr>
            <w:r w:rsidRPr="00097066">
              <w:rPr>
                <w:rFonts w:eastAsia="Calibri"/>
                <w:sz w:val="24"/>
                <w:szCs w:val="24"/>
                <w:lang w:eastAsia="en-US"/>
              </w:rPr>
              <w:t>,096</w:t>
            </w:r>
          </w:p>
        </w:tc>
        <w:tc>
          <w:tcPr>
            <w:tcW w:w="903" w:type="dxa"/>
          </w:tcPr>
          <w:p w14:paraId="4B0271FA" w14:textId="77777777" w:rsidR="006F2108" w:rsidRPr="00097066" w:rsidRDefault="006F2108" w:rsidP="00097066">
            <w:pPr>
              <w:autoSpaceDE w:val="0"/>
              <w:autoSpaceDN w:val="0"/>
              <w:adjustRightInd w:val="0"/>
              <w:ind w:left="0" w:firstLine="0"/>
              <w:jc w:val="right"/>
              <w:rPr>
                <w:rFonts w:eastAsia="Calibri"/>
                <w:sz w:val="24"/>
                <w:szCs w:val="24"/>
                <w:lang w:eastAsia="en-US"/>
              </w:rPr>
            </w:pPr>
            <w:r w:rsidRPr="00097066">
              <w:rPr>
                <w:rFonts w:eastAsia="Calibri"/>
                <w:sz w:val="24"/>
                <w:szCs w:val="24"/>
                <w:lang w:eastAsia="en-US"/>
              </w:rPr>
              <w:t>,120</w:t>
            </w:r>
          </w:p>
        </w:tc>
      </w:tr>
      <w:tr w:rsidR="006F2108" w:rsidRPr="00097066" w14:paraId="64979AD0" w14:textId="77777777" w:rsidTr="00303F2D">
        <w:trPr>
          <w:trHeight w:val="170"/>
          <w:jc w:val="center"/>
        </w:trPr>
        <w:tc>
          <w:tcPr>
            <w:tcW w:w="1444" w:type="dxa"/>
            <w:vMerge/>
          </w:tcPr>
          <w:p w14:paraId="7420DF86" w14:textId="77777777" w:rsidR="006F2108" w:rsidRPr="00097066" w:rsidRDefault="006F2108" w:rsidP="00097066">
            <w:pPr>
              <w:autoSpaceDE w:val="0"/>
              <w:autoSpaceDN w:val="0"/>
              <w:adjustRightInd w:val="0"/>
              <w:ind w:left="0" w:firstLine="0"/>
              <w:jc w:val="left"/>
              <w:rPr>
                <w:rFonts w:eastAsia="Calibri"/>
                <w:sz w:val="24"/>
                <w:szCs w:val="24"/>
                <w:lang w:eastAsia="en-US"/>
              </w:rPr>
            </w:pPr>
          </w:p>
        </w:tc>
        <w:tc>
          <w:tcPr>
            <w:tcW w:w="1223" w:type="dxa"/>
          </w:tcPr>
          <w:p w14:paraId="2C2C0454" w14:textId="77777777" w:rsidR="006F2108" w:rsidRPr="00097066" w:rsidRDefault="006F2108" w:rsidP="00097066">
            <w:pPr>
              <w:autoSpaceDE w:val="0"/>
              <w:autoSpaceDN w:val="0"/>
              <w:adjustRightInd w:val="0"/>
              <w:ind w:left="0" w:firstLine="0"/>
              <w:jc w:val="left"/>
              <w:rPr>
                <w:rFonts w:eastAsia="Calibri"/>
                <w:sz w:val="24"/>
                <w:szCs w:val="24"/>
                <w:lang w:eastAsia="en-US"/>
              </w:rPr>
            </w:pPr>
            <w:r w:rsidRPr="00097066">
              <w:rPr>
                <w:rFonts w:eastAsia="Calibri"/>
                <w:sz w:val="24"/>
                <w:szCs w:val="24"/>
                <w:lang w:eastAsia="en-US"/>
              </w:rPr>
              <w:t>Positive</w:t>
            </w:r>
          </w:p>
        </w:tc>
        <w:tc>
          <w:tcPr>
            <w:tcW w:w="903" w:type="dxa"/>
          </w:tcPr>
          <w:p w14:paraId="2FAECCAE" w14:textId="77777777" w:rsidR="006F2108" w:rsidRPr="00097066" w:rsidRDefault="006F2108" w:rsidP="00097066">
            <w:pPr>
              <w:autoSpaceDE w:val="0"/>
              <w:autoSpaceDN w:val="0"/>
              <w:adjustRightInd w:val="0"/>
              <w:ind w:left="0" w:firstLine="0"/>
              <w:jc w:val="right"/>
              <w:rPr>
                <w:rFonts w:eastAsia="Calibri"/>
                <w:sz w:val="24"/>
                <w:szCs w:val="24"/>
                <w:lang w:eastAsia="en-US"/>
              </w:rPr>
            </w:pPr>
            <w:r w:rsidRPr="00097066">
              <w:rPr>
                <w:rFonts w:eastAsia="Calibri"/>
                <w:sz w:val="24"/>
                <w:szCs w:val="24"/>
                <w:lang w:eastAsia="en-US"/>
              </w:rPr>
              <w:t>,100</w:t>
            </w:r>
          </w:p>
        </w:tc>
        <w:tc>
          <w:tcPr>
            <w:tcW w:w="1506" w:type="dxa"/>
          </w:tcPr>
          <w:p w14:paraId="5FEEF199" w14:textId="77777777" w:rsidR="006F2108" w:rsidRPr="00097066" w:rsidRDefault="006F2108" w:rsidP="00097066">
            <w:pPr>
              <w:autoSpaceDE w:val="0"/>
              <w:autoSpaceDN w:val="0"/>
              <w:adjustRightInd w:val="0"/>
              <w:ind w:left="0" w:firstLine="0"/>
              <w:jc w:val="right"/>
              <w:rPr>
                <w:rFonts w:eastAsia="Calibri"/>
                <w:sz w:val="24"/>
                <w:szCs w:val="24"/>
                <w:lang w:eastAsia="en-US"/>
              </w:rPr>
            </w:pPr>
            <w:r w:rsidRPr="00097066">
              <w:rPr>
                <w:rFonts w:eastAsia="Calibri"/>
                <w:sz w:val="24"/>
                <w:szCs w:val="24"/>
                <w:lang w:eastAsia="en-US"/>
              </w:rPr>
              <w:t>,125</w:t>
            </w:r>
          </w:p>
        </w:tc>
        <w:tc>
          <w:tcPr>
            <w:tcW w:w="851" w:type="dxa"/>
          </w:tcPr>
          <w:p w14:paraId="6CB751DF" w14:textId="77777777" w:rsidR="006F2108" w:rsidRPr="00097066" w:rsidRDefault="006F2108" w:rsidP="00097066">
            <w:pPr>
              <w:autoSpaceDE w:val="0"/>
              <w:autoSpaceDN w:val="0"/>
              <w:adjustRightInd w:val="0"/>
              <w:ind w:left="0" w:firstLine="0"/>
              <w:jc w:val="right"/>
              <w:rPr>
                <w:rFonts w:eastAsia="Calibri"/>
                <w:sz w:val="24"/>
                <w:szCs w:val="24"/>
                <w:lang w:eastAsia="en-US"/>
              </w:rPr>
            </w:pPr>
            <w:r w:rsidRPr="00097066">
              <w:rPr>
                <w:rFonts w:eastAsia="Calibri"/>
                <w:sz w:val="24"/>
                <w:szCs w:val="24"/>
                <w:lang w:eastAsia="en-US"/>
              </w:rPr>
              <w:t>,088</w:t>
            </w:r>
          </w:p>
        </w:tc>
        <w:tc>
          <w:tcPr>
            <w:tcW w:w="1134" w:type="dxa"/>
          </w:tcPr>
          <w:p w14:paraId="4FCCC94D" w14:textId="77777777" w:rsidR="006F2108" w:rsidRPr="00097066" w:rsidRDefault="006F2108" w:rsidP="00097066">
            <w:pPr>
              <w:autoSpaceDE w:val="0"/>
              <w:autoSpaceDN w:val="0"/>
              <w:adjustRightInd w:val="0"/>
              <w:ind w:left="0" w:firstLine="0"/>
              <w:jc w:val="right"/>
              <w:rPr>
                <w:rFonts w:eastAsia="Calibri"/>
                <w:sz w:val="24"/>
                <w:szCs w:val="24"/>
                <w:lang w:eastAsia="en-US"/>
              </w:rPr>
            </w:pPr>
            <w:r w:rsidRPr="00097066">
              <w:rPr>
                <w:rFonts w:eastAsia="Calibri"/>
                <w:sz w:val="24"/>
                <w:szCs w:val="24"/>
                <w:lang w:eastAsia="en-US"/>
              </w:rPr>
              <w:t>,096</w:t>
            </w:r>
          </w:p>
        </w:tc>
        <w:tc>
          <w:tcPr>
            <w:tcW w:w="903" w:type="dxa"/>
          </w:tcPr>
          <w:p w14:paraId="7E538162" w14:textId="77777777" w:rsidR="006F2108" w:rsidRPr="00097066" w:rsidRDefault="006F2108" w:rsidP="00097066">
            <w:pPr>
              <w:autoSpaceDE w:val="0"/>
              <w:autoSpaceDN w:val="0"/>
              <w:adjustRightInd w:val="0"/>
              <w:ind w:left="0" w:firstLine="0"/>
              <w:jc w:val="right"/>
              <w:rPr>
                <w:rFonts w:eastAsia="Calibri"/>
                <w:sz w:val="24"/>
                <w:szCs w:val="24"/>
                <w:lang w:eastAsia="en-US"/>
              </w:rPr>
            </w:pPr>
            <w:r w:rsidRPr="00097066">
              <w:rPr>
                <w:rFonts w:eastAsia="Calibri"/>
                <w:sz w:val="24"/>
                <w:szCs w:val="24"/>
                <w:lang w:eastAsia="en-US"/>
              </w:rPr>
              <w:t>,120</w:t>
            </w:r>
          </w:p>
        </w:tc>
      </w:tr>
      <w:tr w:rsidR="006F2108" w:rsidRPr="00097066" w14:paraId="57C15805" w14:textId="77777777" w:rsidTr="00303F2D">
        <w:trPr>
          <w:trHeight w:val="170"/>
          <w:jc w:val="center"/>
        </w:trPr>
        <w:tc>
          <w:tcPr>
            <w:tcW w:w="1444" w:type="dxa"/>
            <w:vMerge/>
          </w:tcPr>
          <w:p w14:paraId="271B147A" w14:textId="77777777" w:rsidR="006F2108" w:rsidRPr="00097066" w:rsidRDefault="006F2108" w:rsidP="00097066">
            <w:pPr>
              <w:autoSpaceDE w:val="0"/>
              <w:autoSpaceDN w:val="0"/>
              <w:adjustRightInd w:val="0"/>
              <w:ind w:left="0" w:firstLine="0"/>
              <w:jc w:val="left"/>
              <w:rPr>
                <w:rFonts w:eastAsia="Calibri"/>
                <w:sz w:val="24"/>
                <w:szCs w:val="24"/>
                <w:lang w:eastAsia="en-US"/>
              </w:rPr>
            </w:pPr>
          </w:p>
        </w:tc>
        <w:tc>
          <w:tcPr>
            <w:tcW w:w="1223" w:type="dxa"/>
          </w:tcPr>
          <w:p w14:paraId="54ED49E9" w14:textId="77777777" w:rsidR="006F2108" w:rsidRPr="00097066" w:rsidRDefault="006F2108" w:rsidP="00097066">
            <w:pPr>
              <w:autoSpaceDE w:val="0"/>
              <w:autoSpaceDN w:val="0"/>
              <w:adjustRightInd w:val="0"/>
              <w:ind w:left="0" w:firstLine="0"/>
              <w:jc w:val="left"/>
              <w:rPr>
                <w:rFonts w:eastAsia="Calibri"/>
                <w:sz w:val="24"/>
                <w:szCs w:val="24"/>
                <w:lang w:eastAsia="en-US"/>
              </w:rPr>
            </w:pPr>
            <w:r w:rsidRPr="00097066">
              <w:rPr>
                <w:rFonts w:eastAsia="Calibri"/>
                <w:sz w:val="24"/>
                <w:szCs w:val="24"/>
                <w:lang w:eastAsia="en-US"/>
              </w:rPr>
              <w:t>Negative</w:t>
            </w:r>
          </w:p>
        </w:tc>
        <w:tc>
          <w:tcPr>
            <w:tcW w:w="903" w:type="dxa"/>
          </w:tcPr>
          <w:p w14:paraId="2E395553" w14:textId="77777777" w:rsidR="006F2108" w:rsidRPr="00097066" w:rsidRDefault="006F2108" w:rsidP="00097066">
            <w:pPr>
              <w:autoSpaceDE w:val="0"/>
              <w:autoSpaceDN w:val="0"/>
              <w:adjustRightInd w:val="0"/>
              <w:ind w:left="0" w:firstLine="0"/>
              <w:jc w:val="right"/>
              <w:rPr>
                <w:rFonts w:eastAsia="Calibri"/>
                <w:sz w:val="24"/>
                <w:szCs w:val="24"/>
                <w:lang w:eastAsia="en-US"/>
              </w:rPr>
            </w:pPr>
            <w:r w:rsidRPr="00097066">
              <w:rPr>
                <w:rFonts w:eastAsia="Calibri"/>
                <w:sz w:val="24"/>
                <w:szCs w:val="24"/>
                <w:lang w:eastAsia="en-US"/>
              </w:rPr>
              <w:t>-,068</w:t>
            </w:r>
          </w:p>
        </w:tc>
        <w:tc>
          <w:tcPr>
            <w:tcW w:w="1506" w:type="dxa"/>
          </w:tcPr>
          <w:p w14:paraId="688B1748" w14:textId="77777777" w:rsidR="006F2108" w:rsidRPr="00097066" w:rsidRDefault="006F2108" w:rsidP="00097066">
            <w:pPr>
              <w:autoSpaceDE w:val="0"/>
              <w:autoSpaceDN w:val="0"/>
              <w:adjustRightInd w:val="0"/>
              <w:ind w:left="0" w:firstLine="0"/>
              <w:jc w:val="right"/>
              <w:rPr>
                <w:rFonts w:eastAsia="Calibri"/>
                <w:sz w:val="24"/>
                <w:szCs w:val="24"/>
                <w:lang w:eastAsia="en-US"/>
              </w:rPr>
            </w:pPr>
            <w:r w:rsidRPr="00097066">
              <w:rPr>
                <w:rFonts w:eastAsia="Calibri"/>
                <w:sz w:val="24"/>
                <w:szCs w:val="24"/>
                <w:lang w:eastAsia="en-US"/>
              </w:rPr>
              <w:t>-,102</w:t>
            </w:r>
          </w:p>
        </w:tc>
        <w:tc>
          <w:tcPr>
            <w:tcW w:w="851" w:type="dxa"/>
          </w:tcPr>
          <w:p w14:paraId="3B0925F5" w14:textId="77777777" w:rsidR="006F2108" w:rsidRPr="00097066" w:rsidRDefault="006F2108" w:rsidP="00097066">
            <w:pPr>
              <w:autoSpaceDE w:val="0"/>
              <w:autoSpaceDN w:val="0"/>
              <w:adjustRightInd w:val="0"/>
              <w:ind w:left="0" w:firstLine="0"/>
              <w:jc w:val="right"/>
              <w:rPr>
                <w:rFonts w:eastAsia="Calibri"/>
                <w:sz w:val="24"/>
                <w:szCs w:val="24"/>
                <w:lang w:eastAsia="en-US"/>
              </w:rPr>
            </w:pPr>
            <w:r w:rsidRPr="00097066">
              <w:rPr>
                <w:rFonts w:eastAsia="Calibri"/>
                <w:sz w:val="24"/>
                <w:szCs w:val="24"/>
                <w:lang w:eastAsia="en-US"/>
              </w:rPr>
              <w:t>-,078</w:t>
            </w:r>
          </w:p>
        </w:tc>
        <w:tc>
          <w:tcPr>
            <w:tcW w:w="1134" w:type="dxa"/>
          </w:tcPr>
          <w:p w14:paraId="69020B0F" w14:textId="77777777" w:rsidR="006F2108" w:rsidRPr="00097066" w:rsidRDefault="006F2108" w:rsidP="00097066">
            <w:pPr>
              <w:autoSpaceDE w:val="0"/>
              <w:autoSpaceDN w:val="0"/>
              <w:adjustRightInd w:val="0"/>
              <w:ind w:left="0" w:firstLine="0"/>
              <w:jc w:val="right"/>
              <w:rPr>
                <w:rFonts w:eastAsia="Calibri"/>
                <w:sz w:val="24"/>
                <w:szCs w:val="24"/>
                <w:lang w:eastAsia="en-US"/>
              </w:rPr>
            </w:pPr>
            <w:r w:rsidRPr="00097066">
              <w:rPr>
                <w:rFonts w:eastAsia="Calibri"/>
                <w:sz w:val="24"/>
                <w:szCs w:val="24"/>
                <w:lang w:eastAsia="en-US"/>
              </w:rPr>
              <w:t>-,068</w:t>
            </w:r>
          </w:p>
        </w:tc>
        <w:tc>
          <w:tcPr>
            <w:tcW w:w="903" w:type="dxa"/>
          </w:tcPr>
          <w:p w14:paraId="0E6F1D3D" w14:textId="77777777" w:rsidR="006F2108" w:rsidRPr="00097066" w:rsidRDefault="006F2108" w:rsidP="00097066">
            <w:pPr>
              <w:autoSpaceDE w:val="0"/>
              <w:autoSpaceDN w:val="0"/>
              <w:adjustRightInd w:val="0"/>
              <w:ind w:left="0" w:firstLine="0"/>
              <w:jc w:val="right"/>
              <w:rPr>
                <w:rFonts w:eastAsia="Calibri"/>
                <w:sz w:val="24"/>
                <w:szCs w:val="24"/>
                <w:lang w:eastAsia="en-US"/>
              </w:rPr>
            </w:pPr>
            <w:r w:rsidRPr="00097066">
              <w:rPr>
                <w:rFonts w:eastAsia="Calibri"/>
                <w:sz w:val="24"/>
                <w:szCs w:val="24"/>
                <w:lang w:eastAsia="en-US"/>
              </w:rPr>
              <w:t>-,076</w:t>
            </w:r>
          </w:p>
        </w:tc>
      </w:tr>
      <w:tr w:rsidR="006F2108" w:rsidRPr="00097066" w14:paraId="6E14B99E" w14:textId="77777777" w:rsidTr="00303F2D">
        <w:trPr>
          <w:trHeight w:val="170"/>
          <w:jc w:val="center"/>
        </w:trPr>
        <w:tc>
          <w:tcPr>
            <w:tcW w:w="2667" w:type="dxa"/>
            <w:gridSpan w:val="2"/>
          </w:tcPr>
          <w:p w14:paraId="2F5A8DC3" w14:textId="77777777" w:rsidR="006F2108" w:rsidRPr="00097066" w:rsidRDefault="006F2108" w:rsidP="00097066">
            <w:pPr>
              <w:autoSpaceDE w:val="0"/>
              <w:autoSpaceDN w:val="0"/>
              <w:adjustRightInd w:val="0"/>
              <w:ind w:left="0" w:firstLine="0"/>
              <w:jc w:val="left"/>
              <w:rPr>
                <w:rFonts w:eastAsia="Calibri"/>
                <w:sz w:val="24"/>
                <w:szCs w:val="24"/>
                <w:lang w:eastAsia="en-US"/>
              </w:rPr>
            </w:pPr>
            <w:r w:rsidRPr="00097066">
              <w:rPr>
                <w:rFonts w:eastAsia="Calibri"/>
                <w:sz w:val="24"/>
                <w:szCs w:val="24"/>
                <w:lang w:eastAsia="en-US"/>
              </w:rPr>
              <w:t>Test Statistic</w:t>
            </w:r>
          </w:p>
        </w:tc>
        <w:tc>
          <w:tcPr>
            <w:tcW w:w="903" w:type="dxa"/>
          </w:tcPr>
          <w:p w14:paraId="3FFD326E" w14:textId="77777777" w:rsidR="006F2108" w:rsidRPr="00097066" w:rsidRDefault="006F2108" w:rsidP="00097066">
            <w:pPr>
              <w:autoSpaceDE w:val="0"/>
              <w:autoSpaceDN w:val="0"/>
              <w:adjustRightInd w:val="0"/>
              <w:ind w:left="0" w:firstLine="0"/>
              <w:jc w:val="right"/>
              <w:rPr>
                <w:rFonts w:eastAsia="Calibri"/>
                <w:sz w:val="24"/>
                <w:szCs w:val="24"/>
                <w:lang w:eastAsia="en-US"/>
              </w:rPr>
            </w:pPr>
            <w:r w:rsidRPr="00097066">
              <w:rPr>
                <w:rFonts w:eastAsia="Calibri"/>
                <w:sz w:val="24"/>
                <w:szCs w:val="24"/>
                <w:lang w:eastAsia="en-US"/>
              </w:rPr>
              <w:t>,100</w:t>
            </w:r>
          </w:p>
        </w:tc>
        <w:tc>
          <w:tcPr>
            <w:tcW w:w="1506" w:type="dxa"/>
          </w:tcPr>
          <w:p w14:paraId="6F846F77" w14:textId="77777777" w:rsidR="006F2108" w:rsidRPr="00097066" w:rsidRDefault="006F2108" w:rsidP="00097066">
            <w:pPr>
              <w:autoSpaceDE w:val="0"/>
              <w:autoSpaceDN w:val="0"/>
              <w:adjustRightInd w:val="0"/>
              <w:ind w:left="0" w:firstLine="0"/>
              <w:jc w:val="right"/>
              <w:rPr>
                <w:rFonts w:eastAsia="Calibri"/>
                <w:sz w:val="24"/>
                <w:szCs w:val="24"/>
                <w:lang w:eastAsia="en-US"/>
              </w:rPr>
            </w:pPr>
            <w:r w:rsidRPr="00097066">
              <w:rPr>
                <w:rFonts w:eastAsia="Calibri"/>
                <w:sz w:val="24"/>
                <w:szCs w:val="24"/>
                <w:lang w:eastAsia="en-US"/>
              </w:rPr>
              <w:t>,125</w:t>
            </w:r>
          </w:p>
        </w:tc>
        <w:tc>
          <w:tcPr>
            <w:tcW w:w="851" w:type="dxa"/>
          </w:tcPr>
          <w:p w14:paraId="46B50956" w14:textId="77777777" w:rsidR="006F2108" w:rsidRPr="00097066" w:rsidRDefault="006F2108" w:rsidP="00097066">
            <w:pPr>
              <w:autoSpaceDE w:val="0"/>
              <w:autoSpaceDN w:val="0"/>
              <w:adjustRightInd w:val="0"/>
              <w:ind w:left="0" w:firstLine="0"/>
              <w:jc w:val="right"/>
              <w:rPr>
                <w:rFonts w:eastAsia="Calibri"/>
                <w:sz w:val="24"/>
                <w:szCs w:val="24"/>
                <w:lang w:eastAsia="en-US"/>
              </w:rPr>
            </w:pPr>
            <w:r w:rsidRPr="00097066">
              <w:rPr>
                <w:rFonts w:eastAsia="Calibri"/>
                <w:sz w:val="24"/>
                <w:szCs w:val="24"/>
                <w:lang w:eastAsia="en-US"/>
              </w:rPr>
              <w:t>,088</w:t>
            </w:r>
          </w:p>
        </w:tc>
        <w:tc>
          <w:tcPr>
            <w:tcW w:w="1134" w:type="dxa"/>
          </w:tcPr>
          <w:p w14:paraId="2A3411AB" w14:textId="77777777" w:rsidR="006F2108" w:rsidRPr="00097066" w:rsidRDefault="006F2108" w:rsidP="00097066">
            <w:pPr>
              <w:autoSpaceDE w:val="0"/>
              <w:autoSpaceDN w:val="0"/>
              <w:adjustRightInd w:val="0"/>
              <w:ind w:left="0" w:firstLine="0"/>
              <w:jc w:val="right"/>
              <w:rPr>
                <w:rFonts w:eastAsia="Calibri"/>
                <w:sz w:val="24"/>
                <w:szCs w:val="24"/>
                <w:lang w:eastAsia="en-US"/>
              </w:rPr>
            </w:pPr>
            <w:r w:rsidRPr="00097066">
              <w:rPr>
                <w:rFonts w:eastAsia="Calibri"/>
                <w:sz w:val="24"/>
                <w:szCs w:val="24"/>
                <w:lang w:eastAsia="en-US"/>
              </w:rPr>
              <w:t>,096</w:t>
            </w:r>
          </w:p>
        </w:tc>
        <w:tc>
          <w:tcPr>
            <w:tcW w:w="903" w:type="dxa"/>
          </w:tcPr>
          <w:p w14:paraId="2A969667" w14:textId="77777777" w:rsidR="006F2108" w:rsidRPr="00097066" w:rsidRDefault="006F2108" w:rsidP="00097066">
            <w:pPr>
              <w:autoSpaceDE w:val="0"/>
              <w:autoSpaceDN w:val="0"/>
              <w:adjustRightInd w:val="0"/>
              <w:ind w:left="0" w:firstLine="0"/>
              <w:jc w:val="right"/>
              <w:rPr>
                <w:rFonts w:eastAsia="Calibri"/>
                <w:sz w:val="24"/>
                <w:szCs w:val="24"/>
                <w:lang w:eastAsia="en-US"/>
              </w:rPr>
            </w:pPr>
            <w:r w:rsidRPr="00097066">
              <w:rPr>
                <w:rFonts w:eastAsia="Calibri"/>
                <w:sz w:val="24"/>
                <w:szCs w:val="24"/>
                <w:lang w:eastAsia="en-US"/>
              </w:rPr>
              <w:t>,120</w:t>
            </w:r>
          </w:p>
        </w:tc>
      </w:tr>
      <w:tr w:rsidR="006F2108" w:rsidRPr="00097066" w14:paraId="20FCF3D1" w14:textId="77777777" w:rsidTr="00303F2D">
        <w:trPr>
          <w:trHeight w:val="170"/>
          <w:jc w:val="center"/>
        </w:trPr>
        <w:tc>
          <w:tcPr>
            <w:tcW w:w="2667" w:type="dxa"/>
            <w:gridSpan w:val="2"/>
          </w:tcPr>
          <w:p w14:paraId="2C21D830" w14:textId="77777777" w:rsidR="006F2108" w:rsidRPr="00097066" w:rsidRDefault="006F2108" w:rsidP="00097066">
            <w:pPr>
              <w:autoSpaceDE w:val="0"/>
              <w:autoSpaceDN w:val="0"/>
              <w:adjustRightInd w:val="0"/>
              <w:ind w:left="0" w:firstLine="0"/>
              <w:jc w:val="left"/>
              <w:rPr>
                <w:rFonts w:eastAsia="Calibri"/>
                <w:sz w:val="24"/>
                <w:szCs w:val="24"/>
                <w:lang w:eastAsia="en-US"/>
              </w:rPr>
            </w:pPr>
            <w:r w:rsidRPr="00097066">
              <w:rPr>
                <w:rFonts w:eastAsia="Calibri"/>
                <w:sz w:val="24"/>
                <w:szCs w:val="24"/>
                <w:lang w:eastAsia="en-US"/>
              </w:rPr>
              <w:t>Asymp. Sig. (2-tailed)</w:t>
            </w:r>
          </w:p>
        </w:tc>
        <w:tc>
          <w:tcPr>
            <w:tcW w:w="903" w:type="dxa"/>
          </w:tcPr>
          <w:p w14:paraId="296F7198" w14:textId="77777777" w:rsidR="006F2108" w:rsidRPr="00097066" w:rsidRDefault="006F2108" w:rsidP="00097066">
            <w:pPr>
              <w:autoSpaceDE w:val="0"/>
              <w:autoSpaceDN w:val="0"/>
              <w:adjustRightInd w:val="0"/>
              <w:ind w:left="0" w:firstLine="0"/>
              <w:jc w:val="right"/>
              <w:rPr>
                <w:rFonts w:eastAsia="Calibri"/>
                <w:sz w:val="24"/>
                <w:szCs w:val="24"/>
                <w:lang w:eastAsia="en-US"/>
              </w:rPr>
            </w:pPr>
            <w:r w:rsidRPr="00097066">
              <w:rPr>
                <w:rFonts w:eastAsia="Calibri"/>
                <w:sz w:val="24"/>
                <w:szCs w:val="24"/>
                <w:lang w:eastAsia="en-US"/>
              </w:rPr>
              <w:t>,200</w:t>
            </w:r>
            <w:r w:rsidRPr="00097066">
              <w:rPr>
                <w:rFonts w:eastAsia="Calibri"/>
                <w:sz w:val="24"/>
                <w:szCs w:val="24"/>
                <w:vertAlign w:val="superscript"/>
                <w:lang w:eastAsia="en-US"/>
              </w:rPr>
              <w:t>c,d</w:t>
            </w:r>
          </w:p>
        </w:tc>
        <w:tc>
          <w:tcPr>
            <w:tcW w:w="1506" w:type="dxa"/>
          </w:tcPr>
          <w:p w14:paraId="3365AAFD" w14:textId="77777777" w:rsidR="006F2108" w:rsidRPr="00097066" w:rsidRDefault="006F2108" w:rsidP="00097066">
            <w:pPr>
              <w:autoSpaceDE w:val="0"/>
              <w:autoSpaceDN w:val="0"/>
              <w:adjustRightInd w:val="0"/>
              <w:ind w:left="0" w:firstLine="0"/>
              <w:jc w:val="right"/>
              <w:rPr>
                <w:rFonts w:eastAsia="Calibri"/>
                <w:sz w:val="24"/>
                <w:szCs w:val="24"/>
                <w:lang w:eastAsia="en-US"/>
              </w:rPr>
            </w:pPr>
            <w:r w:rsidRPr="00097066">
              <w:rPr>
                <w:rFonts w:eastAsia="Calibri"/>
                <w:sz w:val="24"/>
                <w:szCs w:val="24"/>
                <w:lang w:eastAsia="en-US"/>
              </w:rPr>
              <w:t>,200</w:t>
            </w:r>
            <w:r w:rsidRPr="00097066">
              <w:rPr>
                <w:rFonts w:eastAsia="Calibri"/>
                <w:sz w:val="24"/>
                <w:szCs w:val="24"/>
                <w:vertAlign w:val="superscript"/>
                <w:lang w:eastAsia="en-US"/>
              </w:rPr>
              <w:t>c,d</w:t>
            </w:r>
          </w:p>
        </w:tc>
        <w:tc>
          <w:tcPr>
            <w:tcW w:w="851" w:type="dxa"/>
          </w:tcPr>
          <w:p w14:paraId="5E5D6C6C" w14:textId="77777777" w:rsidR="006F2108" w:rsidRPr="00097066" w:rsidRDefault="006F2108" w:rsidP="00097066">
            <w:pPr>
              <w:autoSpaceDE w:val="0"/>
              <w:autoSpaceDN w:val="0"/>
              <w:adjustRightInd w:val="0"/>
              <w:ind w:left="0" w:firstLine="0"/>
              <w:jc w:val="right"/>
              <w:rPr>
                <w:rFonts w:eastAsia="Calibri"/>
                <w:sz w:val="24"/>
                <w:szCs w:val="24"/>
                <w:lang w:eastAsia="en-US"/>
              </w:rPr>
            </w:pPr>
            <w:r w:rsidRPr="00097066">
              <w:rPr>
                <w:rFonts w:eastAsia="Calibri"/>
                <w:sz w:val="24"/>
                <w:szCs w:val="24"/>
                <w:lang w:eastAsia="en-US"/>
              </w:rPr>
              <w:t>,200</w:t>
            </w:r>
            <w:r w:rsidRPr="00097066">
              <w:rPr>
                <w:rFonts w:eastAsia="Calibri"/>
                <w:sz w:val="24"/>
                <w:szCs w:val="24"/>
                <w:vertAlign w:val="superscript"/>
                <w:lang w:eastAsia="en-US"/>
              </w:rPr>
              <w:t>c,d</w:t>
            </w:r>
          </w:p>
        </w:tc>
        <w:tc>
          <w:tcPr>
            <w:tcW w:w="1134" w:type="dxa"/>
          </w:tcPr>
          <w:p w14:paraId="41155422" w14:textId="77777777" w:rsidR="006F2108" w:rsidRPr="00097066" w:rsidRDefault="006F2108" w:rsidP="00097066">
            <w:pPr>
              <w:autoSpaceDE w:val="0"/>
              <w:autoSpaceDN w:val="0"/>
              <w:adjustRightInd w:val="0"/>
              <w:ind w:left="0" w:firstLine="0"/>
              <w:jc w:val="right"/>
              <w:rPr>
                <w:rFonts w:eastAsia="Calibri"/>
                <w:sz w:val="24"/>
                <w:szCs w:val="24"/>
                <w:lang w:eastAsia="en-US"/>
              </w:rPr>
            </w:pPr>
            <w:r w:rsidRPr="00097066">
              <w:rPr>
                <w:rFonts w:eastAsia="Calibri"/>
                <w:sz w:val="24"/>
                <w:szCs w:val="24"/>
                <w:lang w:eastAsia="en-US"/>
              </w:rPr>
              <w:t>,200</w:t>
            </w:r>
            <w:r w:rsidRPr="00097066">
              <w:rPr>
                <w:rFonts w:eastAsia="Calibri"/>
                <w:sz w:val="24"/>
                <w:szCs w:val="24"/>
                <w:vertAlign w:val="superscript"/>
                <w:lang w:eastAsia="en-US"/>
              </w:rPr>
              <w:t>c,d</w:t>
            </w:r>
          </w:p>
        </w:tc>
        <w:tc>
          <w:tcPr>
            <w:tcW w:w="903" w:type="dxa"/>
          </w:tcPr>
          <w:p w14:paraId="6A498194" w14:textId="77777777" w:rsidR="006F2108" w:rsidRPr="00097066" w:rsidRDefault="006F2108" w:rsidP="00097066">
            <w:pPr>
              <w:autoSpaceDE w:val="0"/>
              <w:autoSpaceDN w:val="0"/>
              <w:adjustRightInd w:val="0"/>
              <w:ind w:left="0" w:firstLine="0"/>
              <w:jc w:val="right"/>
              <w:rPr>
                <w:rFonts w:eastAsia="Calibri"/>
                <w:sz w:val="24"/>
                <w:szCs w:val="24"/>
                <w:lang w:eastAsia="en-US"/>
              </w:rPr>
            </w:pPr>
            <w:r w:rsidRPr="00097066">
              <w:rPr>
                <w:rFonts w:eastAsia="Calibri"/>
                <w:sz w:val="24"/>
                <w:szCs w:val="24"/>
                <w:lang w:eastAsia="en-US"/>
              </w:rPr>
              <w:t>,200</w:t>
            </w:r>
            <w:r w:rsidRPr="00097066">
              <w:rPr>
                <w:rFonts w:eastAsia="Calibri"/>
                <w:sz w:val="24"/>
                <w:szCs w:val="24"/>
                <w:vertAlign w:val="superscript"/>
                <w:lang w:eastAsia="en-US"/>
              </w:rPr>
              <w:t>c,d</w:t>
            </w:r>
          </w:p>
        </w:tc>
      </w:tr>
    </w:tbl>
    <w:bookmarkEnd w:id="3"/>
    <w:p w14:paraId="150415DD" w14:textId="77777777" w:rsidR="00DC32DF" w:rsidRPr="00097066" w:rsidRDefault="00DC32DF" w:rsidP="00303F2D">
      <w:pPr>
        <w:ind w:left="0" w:firstLine="0"/>
        <w:jc w:val="center"/>
        <w:rPr>
          <w:b/>
          <w:sz w:val="24"/>
          <w:szCs w:val="24"/>
        </w:rPr>
      </w:pPr>
      <w:r w:rsidRPr="00097066">
        <w:rPr>
          <w:sz w:val="24"/>
          <w:szCs w:val="24"/>
          <w:lang w:val="id"/>
        </w:rPr>
        <w:t xml:space="preserve">Sumber : </w:t>
      </w:r>
      <w:r w:rsidRPr="00097066">
        <w:rPr>
          <w:i/>
          <w:sz w:val="24"/>
          <w:szCs w:val="24"/>
          <w:lang w:val="id"/>
        </w:rPr>
        <w:t>Output</w:t>
      </w:r>
      <w:r w:rsidRPr="00097066">
        <w:rPr>
          <w:sz w:val="24"/>
          <w:szCs w:val="24"/>
          <w:lang w:val="id"/>
        </w:rPr>
        <w:t xml:space="preserve"> SPSS versi 26</w:t>
      </w:r>
      <w:r w:rsidRPr="00097066">
        <w:rPr>
          <w:sz w:val="24"/>
          <w:szCs w:val="24"/>
        </w:rPr>
        <w:t>, 2023</w:t>
      </w:r>
    </w:p>
    <w:p w14:paraId="58C78784" w14:textId="21F6F902" w:rsidR="00DC32DF" w:rsidRPr="00097066" w:rsidRDefault="00BB4783" w:rsidP="00097066">
      <w:pPr>
        <w:ind w:left="0" w:firstLine="709"/>
        <w:rPr>
          <w:sz w:val="24"/>
          <w:szCs w:val="24"/>
        </w:rPr>
      </w:pPr>
      <w:r w:rsidRPr="00097066">
        <w:rPr>
          <w:sz w:val="24"/>
          <w:szCs w:val="24"/>
        </w:rPr>
        <w:t xml:space="preserve">Berdasarkan tabel 1 </w:t>
      </w:r>
      <w:r w:rsidRPr="00097066">
        <w:rPr>
          <w:i/>
          <w:iCs/>
          <w:sz w:val="24"/>
          <w:szCs w:val="24"/>
        </w:rPr>
        <w:t xml:space="preserve">output </w:t>
      </w:r>
      <w:r w:rsidRPr="00097066">
        <w:rPr>
          <w:sz w:val="24"/>
          <w:szCs w:val="24"/>
        </w:rPr>
        <w:t xml:space="preserve">SPSS di atas diperoleh nilai residual dari variabel </w:t>
      </w:r>
      <w:r w:rsidRPr="00097066">
        <w:rPr>
          <w:i/>
          <w:iCs/>
          <w:sz w:val="24"/>
          <w:szCs w:val="24"/>
        </w:rPr>
        <w:t xml:space="preserve">risk profile </w:t>
      </w:r>
      <w:r w:rsidRPr="00097066">
        <w:rPr>
          <w:sz w:val="24"/>
          <w:szCs w:val="24"/>
        </w:rPr>
        <w:t xml:space="preserve">(X1), </w:t>
      </w:r>
      <w:r w:rsidRPr="00097066">
        <w:rPr>
          <w:i/>
          <w:iCs/>
          <w:sz w:val="24"/>
          <w:szCs w:val="24"/>
        </w:rPr>
        <w:t xml:space="preserve">good corporate governance </w:t>
      </w:r>
      <w:r w:rsidRPr="00097066">
        <w:rPr>
          <w:sz w:val="24"/>
          <w:szCs w:val="24"/>
        </w:rPr>
        <w:t xml:space="preserve">(X2), </w:t>
      </w:r>
      <w:r w:rsidRPr="00097066">
        <w:rPr>
          <w:i/>
          <w:iCs/>
          <w:sz w:val="24"/>
          <w:szCs w:val="24"/>
        </w:rPr>
        <w:t xml:space="preserve">earning </w:t>
      </w:r>
      <w:r w:rsidRPr="00097066">
        <w:rPr>
          <w:sz w:val="24"/>
          <w:szCs w:val="24"/>
        </w:rPr>
        <w:t xml:space="preserve">(X3), </w:t>
      </w:r>
      <w:r w:rsidRPr="00097066">
        <w:rPr>
          <w:i/>
          <w:iCs/>
          <w:sz w:val="24"/>
          <w:szCs w:val="24"/>
        </w:rPr>
        <w:t xml:space="preserve">capital </w:t>
      </w:r>
      <w:r w:rsidRPr="00097066">
        <w:rPr>
          <w:sz w:val="24"/>
          <w:szCs w:val="24"/>
        </w:rPr>
        <w:t xml:space="preserve">(X4) dan tingkat kesehatan bank (Y) dengan nilai </w:t>
      </w:r>
      <w:r w:rsidRPr="00097066">
        <w:rPr>
          <w:i/>
          <w:iCs/>
          <w:sz w:val="24"/>
          <w:szCs w:val="24"/>
        </w:rPr>
        <w:t xml:space="preserve">Asym. Sig. </w:t>
      </w:r>
      <w:r w:rsidRPr="00097066">
        <w:rPr>
          <w:sz w:val="24"/>
          <w:szCs w:val="24"/>
        </w:rPr>
        <w:t>(2-tailed) 0,200 &gt; 0.05. Maka dapat disimpulkan bahwa data penelitian berdistribusi normal.</w:t>
      </w:r>
    </w:p>
    <w:p w14:paraId="79A6B0AF" w14:textId="34E4087C" w:rsidR="00DC32DF" w:rsidRPr="00097066" w:rsidRDefault="00DC32DF" w:rsidP="00303F2D">
      <w:pPr>
        <w:pStyle w:val="ListParagraph"/>
        <w:ind w:left="0" w:firstLine="0"/>
        <w:rPr>
          <w:b/>
          <w:sz w:val="24"/>
          <w:szCs w:val="24"/>
        </w:rPr>
      </w:pPr>
      <w:r w:rsidRPr="00097066">
        <w:rPr>
          <w:b/>
          <w:sz w:val="24"/>
          <w:szCs w:val="24"/>
          <w:lang w:val="id"/>
        </w:rPr>
        <w:lastRenderedPageBreak/>
        <w:t>Uji Multikolinearitas</w:t>
      </w:r>
    </w:p>
    <w:p w14:paraId="0AD532B2" w14:textId="145ED400" w:rsidR="00DC32DF" w:rsidRPr="00097066" w:rsidRDefault="00DC32DF" w:rsidP="00097066">
      <w:pPr>
        <w:ind w:left="0" w:firstLine="0"/>
        <w:jc w:val="center"/>
        <w:rPr>
          <w:b/>
          <w:sz w:val="24"/>
          <w:szCs w:val="24"/>
          <w:lang w:val="id"/>
        </w:rPr>
      </w:pPr>
      <w:r w:rsidRPr="00097066">
        <w:rPr>
          <w:b/>
          <w:sz w:val="24"/>
          <w:szCs w:val="24"/>
        </w:rPr>
        <w:t xml:space="preserve">Tabel </w:t>
      </w:r>
      <w:r w:rsidR="00181975" w:rsidRPr="00097066">
        <w:rPr>
          <w:b/>
          <w:sz w:val="24"/>
          <w:szCs w:val="24"/>
        </w:rPr>
        <w:t>2</w:t>
      </w:r>
      <w:r w:rsidRPr="00097066">
        <w:rPr>
          <w:b/>
          <w:sz w:val="24"/>
          <w:szCs w:val="24"/>
        </w:rPr>
        <w:t xml:space="preserve"> Hasil </w:t>
      </w:r>
      <w:r w:rsidRPr="00097066">
        <w:rPr>
          <w:b/>
          <w:sz w:val="24"/>
          <w:szCs w:val="24"/>
          <w:lang w:val="id"/>
        </w:rPr>
        <w:t>Uji Multikolinearitas</w:t>
      </w:r>
    </w:p>
    <w:tbl>
      <w:tblPr>
        <w:tblStyle w:val="TableGrid"/>
        <w:tblW w:w="6487" w:type="dxa"/>
        <w:jc w:val="center"/>
        <w:tblLayout w:type="fixed"/>
        <w:tblLook w:val="0000" w:firstRow="0" w:lastRow="0" w:firstColumn="0" w:lastColumn="0" w:noHBand="0" w:noVBand="0"/>
      </w:tblPr>
      <w:tblGrid>
        <w:gridCol w:w="705"/>
        <w:gridCol w:w="2360"/>
        <w:gridCol w:w="1327"/>
        <w:gridCol w:w="2095"/>
      </w:tblGrid>
      <w:tr w:rsidR="00BB4783" w:rsidRPr="00097066" w14:paraId="02F6A738" w14:textId="77777777" w:rsidTr="00303F2D">
        <w:trPr>
          <w:jc w:val="center"/>
        </w:trPr>
        <w:tc>
          <w:tcPr>
            <w:tcW w:w="6487" w:type="dxa"/>
            <w:gridSpan w:val="4"/>
          </w:tcPr>
          <w:p w14:paraId="6D522231" w14:textId="77777777" w:rsidR="00BB4783" w:rsidRPr="00097066" w:rsidRDefault="00BB4783" w:rsidP="00097066">
            <w:pPr>
              <w:autoSpaceDE w:val="0"/>
              <w:autoSpaceDN w:val="0"/>
              <w:adjustRightInd w:val="0"/>
              <w:ind w:left="0" w:firstLine="0"/>
              <w:jc w:val="center"/>
              <w:rPr>
                <w:sz w:val="24"/>
                <w:szCs w:val="24"/>
              </w:rPr>
            </w:pPr>
            <w:r w:rsidRPr="00097066">
              <w:rPr>
                <w:b/>
                <w:bCs/>
                <w:sz w:val="24"/>
                <w:szCs w:val="24"/>
              </w:rPr>
              <w:t>Coefficients</w:t>
            </w:r>
            <w:r w:rsidRPr="00097066">
              <w:rPr>
                <w:b/>
                <w:bCs/>
                <w:sz w:val="24"/>
                <w:szCs w:val="24"/>
                <w:vertAlign w:val="superscript"/>
              </w:rPr>
              <w:t>a</w:t>
            </w:r>
          </w:p>
        </w:tc>
      </w:tr>
      <w:tr w:rsidR="00BB4783" w:rsidRPr="00097066" w14:paraId="763BE150" w14:textId="77777777" w:rsidTr="00303F2D">
        <w:trPr>
          <w:trHeight w:val="247"/>
          <w:jc w:val="center"/>
        </w:trPr>
        <w:tc>
          <w:tcPr>
            <w:tcW w:w="3065" w:type="dxa"/>
            <w:gridSpan w:val="2"/>
            <w:vMerge w:val="restart"/>
          </w:tcPr>
          <w:p w14:paraId="4B79B4BC" w14:textId="77777777" w:rsidR="00BB4783" w:rsidRPr="00097066" w:rsidRDefault="00BB4783" w:rsidP="00303F2D">
            <w:pPr>
              <w:autoSpaceDE w:val="0"/>
              <w:autoSpaceDN w:val="0"/>
              <w:adjustRightInd w:val="0"/>
              <w:ind w:left="0"/>
              <w:jc w:val="center"/>
              <w:rPr>
                <w:sz w:val="24"/>
                <w:szCs w:val="24"/>
              </w:rPr>
            </w:pPr>
            <w:r w:rsidRPr="00097066">
              <w:rPr>
                <w:sz w:val="24"/>
                <w:szCs w:val="24"/>
              </w:rPr>
              <w:t>Model</w:t>
            </w:r>
          </w:p>
        </w:tc>
        <w:tc>
          <w:tcPr>
            <w:tcW w:w="3422" w:type="dxa"/>
            <w:gridSpan w:val="2"/>
          </w:tcPr>
          <w:p w14:paraId="17175C48" w14:textId="77777777" w:rsidR="00BB4783" w:rsidRPr="00097066" w:rsidRDefault="00BB4783" w:rsidP="00303F2D">
            <w:pPr>
              <w:autoSpaceDE w:val="0"/>
              <w:autoSpaceDN w:val="0"/>
              <w:adjustRightInd w:val="0"/>
              <w:ind w:left="0"/>
              <w:jc w:val="center"/>
              <w:rPr>
                <w:sz w:val="24"/>
                <w:szCs w:val="24"/>
              </w:rPr>
            </w:pPr>
            <w:r w:rsidRPr="00097066">
              <w:rPr>
                <w:sz w:val="24"/>
                <w:szCs w:val="24"/>
              </w:rPr>
              <w:t>ColLinierity Statistics</w:t>
            </w:r>
          </w:p>
        </w:tc>
      </w:tr>
      <w:tr w:rsidR="00BB4783" w:rsidRPr="00097066" w14:paraId="060A21C3" w14:textId="77777777" w:rsidTr="00303F2D">
        <w:trPr>
          <w:trHeight w:val="508"/>
          <w:jc w:val="center"/>
        </w:trPr>
        <w:tc>
          <w:tcPr>
            <w:tcW w:w="3065" w:type="dxa"/>
            <w:gridSpan w:val="2"/>
            <w:vMerge/>
          </w:tcPr>
          <w:p w14:paraId="723FABE0" w14:textId="77777777" w:rsidR="00BB4783" w:rsidRPr="00097066" w:rsidRDefault="00BB4783" w:rsidP="00303F2D">
            <w:pPr>
              <w:autoSpaceDE w:val="0"/>
              <w:autoSpaceDN w:val="0"/>
              <w:adjustRightInd w:val="0"/>
              <w:ind w:left="0"/>
              <w:jc w:val="center"/>
              <w:rPr>
                <w:sz w:val="24"/>
                <w:szCs w:val="24"/>
              </w:rPr>
            </w:pPr>
          </w:p>
        </w:tc>
        <w:tc>
          <w:tcPr>
            <w:tcW w:w="1327" w:type="dxa"/>
          </w:tcPr>
          <w:p w14:paraId="0FB1AD49" w14:textId="34C5A911" w:rsidR="00BB4783" w:rsidRPr="00097066" w:rsidRDefault="00BB4783" w:rsidP="00303F2D">
            <w:pPr>
              <w:autoSpaceDE w:val="0"/>
              <w:autoSpaceDN w:val="0"/>
              <w:adjustRightInd w:val="0"/>
              <w:ind w:left="0" w:firstLine="0"/>
              <w:jc w:val="center"/>
              <w:rPr>
                <w:sz w:val="24"/>
                <w:szCs w:val="24"/>
              </w:rPr>
            </w:pPr>
            <w:r w:rsidRPr="00097066">
              <w:rPr>
                <w:sz w:val="24"/>
                <w:szCs w:val="24"/>
              </w:rPr>
              <w:t>Tolerance</w:t>
            </w:r>
          </w:p>
        </w:tc>
        <w:tc>
          <w:tcPr>
            <w:tcW w:w="2095" w:type="dxa"/>
          </w:tcPr>
          <w:p w14:paraId="2E517534" w14:textId="77777777" w:rsidR="00BB4783" w:rsidRPr="00097066" w:rsidRDefault="00BB4783" w:rsidP="00303F2D">
            <w:pPr>
              <w:autoSpaceDE w:val="0"/>
              <w:autoSpaceDN w:val="0"/>
              <w:adjustRightInd w:val="0"/>
              <w:ind w:left="0" w:hanging="32"/>
              <w:jc w:val="center"/>
              <w:rPr>
                <w:sz w:val="24"/>
                <w:szCs w:val="24"/>
              </w:rPr>
            </w:pPr>
            <w:r w:rsidRPr="00097066">
              <w:rPr>
                <w:sz w:val="24"/>
                <w:szCs w:val="24"/>
              </w:rPr>
              <w:t>VIF</w:t>
            </w:r>
          </w:p>
        </w:tc>
      </w:tr>
      <w:tr w:rsidR="00BB4783" w:rsidRPr="00097066" w14:paraId="0B645D17" w14:textId="77777777" w:rsidTr="00303F2D">
        <w:trPr>
          <w:trHeight w:val="233"/>
          <w:jc w:val="center"/>
        </w:trPr>
        <w:tc>
          <w:tcPr>
            <w:tcW w:w="705" w:type="dxa"/>
            <w:vMerge w:val="restart"/>
          </w:tcPr>
          <w:p w14:paraId="4DBDEF76" w14:textId="14AEBAB4" w:rsidR="00BB4783" w:rsidRPr="00097066" w:rsidRDefault="00BB4783" w:rsidP="00303F2D">
            <w:pPr>
              <w:autoSpaceDE w:val="0"/>
              <w:autoSpaceDN w:val="0"/>
              <w:adjustRightInd w:val="0"/>
              <w:ind w:left="0"/>
              <w:jc w:val="center"/>
              <w:rPr>
                <w:sz w:val="24"/>
                <w:szCs w:val="24"/>
              </w:rPr>
            </w:pPr>
            <w:r w:rsidRPr="00097066">
              <w:rPr>
                <w:sz w:val="24"/>
                <w:szCs w:val="24"/>
              </w:rPr>
              <w:t>11</w:t>
            </w:r>
          </w:p>
        </w:tc>
        <w:tc>
          <w:tcPr>
            <w:tcW w:w="2360" w:type="dxa"/>
          </w:tcPr>
          <w:p w14:paraId="0A984F7F" w14:textId="77777777" w:rsidR="00BB4783" w:rsidRPr="00097066" w:rsidRDefault="00BB4783" w:rsidP="00303F2D">
            <w:pPr>
              <w:autoSpaceDE w:val="0"/>
              <w:autoSpaceDN w:val="0"/>
              <w:adjustRightInd w:val="0"/>
              <w:ind w:left="0"/>
              <w:jc w:val="center"/>
              <w:rPr>
                <w:sz w:val="24"/>
                <w:szCs w:val="24"/>
              </w:rPr>
            </w:pPr>
            <w:r w:rsidRPr="00097066">
              <w:rPr>
                <w:sz w:val="24"/>
                <w:szCs w:val="24"/>
              </w:rPr>
              <w:t>(Constant)</w:t>
            </w:r>
          </w:p>
        </w:tc>
        <w:tc>
          <w:tcPr>
            <w:tcW w:w="1327" w:type="dxa"/>
          </w:tcPr>
          <w:p w14:paraId="102E7582" w14:textId="77777777" w:rsidR="00BB4783" w:rsidRPr="00097066" w:rsidRDefault="00BB4783" w:rsidP="00303F2D">
            <w:pPr>
              <w:autoSpaceDE w:val="0"/>
              <w:autoSpaceDN w:val="0"/>
              <w:adjustRightInd w:val="0"/>
              <w:ind w:left="0"/>
              <w:jc w:val="center"/>
              <w:rPr>
                <w:sz w:val="24"/>
                <w:szCs w:val="24"/>
              </w:rPr>
            </w:pPr>
          </w:p>
        </w:tc>
        <w:tc>
          <w:tcPr>
            <w:tcW w:w="2095" w:type="dxa"/>
          </w:tcPr>
          <w:p w14:paraId="615EC2CF" w14:textId="77777777" w:rsidR="00BB4783" w:rsidRPr="00097066" w:rsidRDefault="00BB4783" w:rsidP="00303F2D">
            <w:pPr>
              <w:autoSpaceDE w:val="0"/>
              <w:autoSpaceDN w:val="0"/>
              <w:adjustRightInd w:val="0"/>
              <w:ind w:left="0"/>
              <w:jc w:val="center"/>
              <w:rPr>
                <w:sz w:val="24"/>
                <w:szCs w:val="24"/>
              </w:rPr>
            </w:pPr>
          </w:p>
        </w:tc>
      </w:tr>
      <w:tr w:rsidR="00BB4783" w:rsidRPr="00097066" w14:paraId="6F03D836" w14:textId="77777777" w:rsidTr="00303F2D">
        <w:trPr>
          <w:trHeight w:val="508"/>
          <w:jc w:val="center"/>
        </w:trPr>
        <w:tc>
          <w:tcPr>
            <w:tcW w:w="705" w:type="dxa"/>
            <w:vMerge/>
          </w:tcPr>
          <w:p w14:paraId="2453DF53" w14:textId="77777777" w:rsidR="00BB4783" w:rsidRPr="00097066" w:rsidRDefault="00BB4783" w:rsidP="00303F2D">
            <w:pPr>
              <w:autoSpaceDE w:val="0"/>
              <w:autoSpaceDN w:val="0"/>
              <w:adjustRightInd w:val="0"/>
              <w:ind w:left="0"/>
              <w:jc w:val="center"/>
              <w:rPr>
                <w:sz w:val="24"/>
                <w:szCs w:val="24"/>
              </w:rPr>
            </w:pPr>
          </w:p>
        </w:tc>
        <w:tc>
          <w:tcPr>
            <w:tcW w:w="2360" w:type="dxa"/>
          </w:tcPr>
          <w:p w14:paraId="40AB2DD2" w14:textId="77777777" w:rsidR="00BB4783" w:rsidRPr="00097066" w:rsidRDefault="00BB4783" w:rsidP="00303F2D">
            <w:pPr>
              <w:autoSpaceDE w:val="0"/>
              <w:autoSpaceDN w:val="0"/>
              <w:adjustRightInd w:val="0"/>
              <w:ind w:left="0"/>
              <w:jc w:val="center"/>
              <w:rPr>
                <w:sz w:val="24"/>
                <w:szCs w:val="24"/>
              </w:rPr>
            </w:pPr>
            <w:r w:rsidRPr="00097066">
              <w:rPr>
                <w:sz w:val="24"/>
                <w:szCs w:val="24"/>
              </w:rPr>
              <w:t>KOMISARIS INDEPENDEN</w:t>
            </w:r>
          </w:p>
        </w:tc>
        <w:tc>
          <w:tcPr>
            <w:tcW w:w="1327" w:type="dxa"/>
          </w:tcPr>
          <w:p w14:paraId="0209B3C0" w14:textId="77777777" w:rsidR="00BB4783" w:rsidRPr="00097066" w:rsidRDefault="00BB4783" w:rsidP="00303F2D">
            <w:pPr>
              <w:autoSpaceDE w:val="0"/>
              <w:autoSpaceDN w:val="0"/>
              <w:adjustRightInd w:val="0"/>
              <w:ind w:left="0"/>
              <w:jc w:val="center"/>
              <w:rPr>
                <w:sz w:val="24"/>
                <w:szCs w:val="24"/>
              </w:rPr>
            </w:pPr>
            <w:r w:rsidRPr="00097066">
              <w:rPr>
                <w:sz w:val="24"/>
                <w:szCs w:val="24"/>
              </w:rPr>
              <w:t>,919</w:t>
            </w:r>
          </w:p>
        </w:tc>
        <w:tc>
          <w:tcPr>
            <w:tcW w:w="2095" w:type="dxa"/>
          </w:tcPr>
          <w:p w14:paraId="494173CA" w14:textId="77777777" w:rsidR="00BB4783" w:rsidRPr="00097066" w:rsidRDefault="00BB4783" w:rsidP="00303F2D">
            <w:pPr>
              <w:autoSpaceDE w:val="0"/>
              <w:autoSpaceDN w:val="0"/>
              <w:adjustRightInd w:val="0"/>
              <w:ind w:left="0"/>
              <w:jc w:val="center"/>
              <w:rPr>
                <w:sz w:val="24"/>
                <w:szCs w:val="24"/>
              </w:rPr>
            </w:pPr>
            <w:r w:rsidRPr="00097066">
              <w:rPr>
                <w:sz w:val="24"/>
                <w:szCs w:val="24"/>
              </w:rPr>
              <w:t>1,089</w:t>
            </w:r>
          </w:p>
        </w:tc>
      </w:tr>
      <w:tr w:rsidR="00BB4783" w:rsidRPr="00097066" w14:paraId="0D47C72C" w14:textId="77777777" w:rsidTr="00303F2D">
        <w:trPr>
          <w:trHeight w:val="260"/>
          <w:jc w:val="center"/>
        </w:trPr>
        <w:tc>
          <w:tcPr>
            <w:tcW w:w="705" w:type="dxa"/>
            <w:vMerge/>
          </w:tcPr>
          <w:p w14:paraId="018A7992" w14:textId="77777777" w:rsidR="00BB4783" w:rsidRPr="00097066" w:rsidRDefault="00BB4783" w:rsidP="00303F2D">
            <w:pPr>
              <w:autoSpaceDE w:val="0"/>
              <w:autoSpaceDN w:val="0"/>
              <w:adjustRightInd w:val="0"/>
              <w:ind w:left="0"/>
              <w:jc w:val="center"/>
              <w:rPr>
                <w:sz w:val="24"/>
                <w:szCs w:val="24"/>
              </w:rPr>
            </w:pPr>
          </w:p>
        </w:tc>
        <w:tc>
          <w:tcPr>
            <w:tcW w:w="2360" w:type="dxa"/>
          </w:tcPr>
          <w:p w14:paraId="38668385" w14:textId="77777777" w:rsidR="00BB4783" w:rsidRPr="00097066" w:rsidRDefault="00BB4783" w:rsidP="00303F2D">
            <w:pPr>
              <w:autoSpaceDE w:val="0"/>
              <w:autoSpaceDN w:val="0"/>
              <w:adjustRightInd w:val="0"/>
              <w:ind w:left="0"/>
              <w:jc w:val="center"/>
              <w:rPr>
                <w:sz w:val="24"/>
                <w:szCs w:val="24"/>
              </w:rPr>
            </w:pPr>
            <w:r w:rsidRPr="00097066">
              <w:rPr>
                <w:sz w:val="24"/>
                <w:szCs w:val="24"/>
              </w:rPr>
              <w:t>ROA</w:t>
            </w:r>
          </w:p>
        </w:tc>
        <w:tc>
          <w:tcPr>
            <w:tcW w:w="1327" w:type="dxa"/>
          </w:tcPr>
          <w:p w14:paraId="4FD068F9" w14:textId="77777777" w:rsidR="00BB4783" w:rsidRPr="00097066" w:rsidRDefault="00BB4783" w:rsidP="00303F2D">
            <w:pPr>
              <w:autoSpaceDE w:val="0"/>
              <w:autoSpaceDN w:val="0"/>
              <w:adjustRightInd w:val="0"/>
              <w:ind w:left="0"/>
              <w:jc w:val="center"/>
              <w:rPr>
                <w:sz w:val="24"/>
                <w:szCs w:val="24"/>
              </w:rPr>
            </w:pPr>
            <w:r w:rsidRPr="00097066">
              <w:rPr>
                <w:sz w:val="24"/>
                <w:szCs w:val="24"/>
              </w:rPr>
              <w:t>,680</w:t>
            </w:r>
          </w:p>
        </w:tc>
        <w:tc>
          <w:tcPr>
            <w:tcW w:w="2095" w:type="dxa"/>
          </w:tcPr>
          <w:p w14:paraId="0957EDBB" w14:textId="77777777" w:rsidR="00BB4783" w:rsidRPr="00097066" w:rsidRDefault="00BB4783" w:rsidP="00303F2D">
            <w:pPr>
              <w:autoSpaceDE w:val="0"/>
              <w:autoSpaceDN w:val="0"/>
              <w:adjustRightInd w:val="0"/>
              <w:ind w:left="0"/>
              <w:jc w:val="center"/>
              <w:rPr>
                <w:sz w:val="24"/>
                <w:szCs w:val="24"/>
              </w:rPr>
            </w:pPr>
            <w:r w:rsidRPr="00097066">
              <w:rPr>
                <w:sz w:val="24"/>
                <w:szCs w:val="24"/>
              </w:rPr>
              <w:t>1,471</w:t>
            </w:r>
          </w:p>
        </w:tc>
      </w:tr>
      <w:tr w:rsidR="00BB4783" w:rsidRPr="00097066" w14:paraId="27D1A83F" w14:textId="77777777" w:rsidTr="00303F2D">
        <w:trPr>
          <w:trHeight w:val="260"/>
          <w:jc w:val="center"/>
        </w:trPr>
        <w:tc>
          <w:tcPr>
            <w:tcW w:w="705" w:type="dxa"/>
            <w:vMerge/>
          </w:tcPr>
          <w:p w14:paraId="15B0AB38" w14:textId="77777777" w:rsidR="00BB4783" w:rsidRPr="00097066" w:rsidRDefault="00BB4783" w:rsidP="00303F2D">
            <w:pPr>
              <w:autoSpaceDE w:val="0"/>
              <w:autoSpaceDN w:val="0"/>
              <w:adjustRightInd w:val="0"/>
              <w:ind w:left="0"/>
              <w:jc w:val="center"/>
              <w:rPr>
                <w:sz w:val="24"/>
                <w:szCs w:val="24"/>
              </w:rPr>
            </w:pPr>
          </w:p>
        </w:tc>
        <w:tc>
          <w:tcPr>
            <w:tcW w:w="2360" w:type="dxa"/>
          </w:tcPr>
          <w:p w14:paraId="35A53AB7" w14:textId="77777777" w:rsidR="00BB4783" w:rsidRPr="00097066" w:rsidRDefault="00BB4783" w:rsidP="00303F2D">
            <w:pPr>
              <w:autoSpaceDE w:val="0"/>
              <w:autoSpaceDN w:val="0"/>
              <w:adjustRightInd w:val="0"/>
              <w:ind w:left="0"/>
              <w:jc w:val="center"/>
              <w:rPr>
                <w:sz w:val="24"/>
                <w:szCs w:val="24"/>
              </w:rPr>
            </w:pPr>
            <w:r w:rsidRPr="00097066">
              <w:rPr>
                <w:sz w:val="24"/>
                <w:szCs w:val="24"/>
              </w:rPr>
              <w:t>CAPITAL</w:t>
            </w:r>
          </w:p>
        </w:tc>
        <w:tc>
          <w:tcPr>
            <w:tcW w:w="1327" w:type="dxa"/>
          </w:tcPr>
          <w:p w14:paraId="1ECA613D" w14:textId="77777777" w:rsidR="00BB4783" w:rsidRPr="00097066" w:rsidRDefault="00BB4783" w:rsidP="00303F2D">
            <w:pPr>
              <w:autoSpaceDE w:val="0"/>
              <w:autoSpaceDN w:val="0"/>
              <w:adjustRightInd w:val="0"/>
              <w:ind w:left="0"/>
              <w:jc w:val="center"/>
              <w:rPr>
                <w:sz w:val="24"/>
                <w:szCs w:val="24"/>
              </w:rPr>
            </w:pPr>
            <w:r w:rsidRPr="00097066">
              <w:rPr>
                <w:sz w:val="24"/>
                <w:szCs w:val="24"/>
              </w:rPr>
              <w:t>,790</w:t>
            </w:r>
          </w:p>
        </w:tc>
        <w:tc>
          <w:tcPr>
            <w:tcW w:w="2095" w:type="dxa"/>
          </w:tcPr>
          <w:p w14:paraId="55012412" w14:textId="77777777" w:rsidR="00BB4783" w:rsidRPr="00097066" w:rsidRDefault="00BB4783" w:rsidP="00303F2D">
            <w:pPr>
              <w:autoSpaceDE w:val="0"/>
              <w:autoSpaceDN w:val="0"/>
              <w:adjustRightInd w:val="0"/>
              <w:ind w:left="0"/>
              <w:jc w:val="center"/>
              <w:rPr>
                <w:sz w:val="24"/>
                <w:szCs w:val="24"/>
              </w:rPr>
            </w:pPr>
            <w:r w:rsidRPr="00097066">
              <w:rPr>
                <w:sz w:val="24"/>
                <w:szCs w:val="24"/>
              </w:rPr>
              <w:t>1,265</w:t>
            </w:r>
          </w:p>
        </w:tc>
      </w:tr>
      <w:tr w:rsidR="00BB4783" w:rsidRPr="00097066" w14:paraId="01141BFC" w14:textId="77777777" w:rsidTr="00303F2D">
        <w:trPr>
          <w:trHeight w:val="260"/>
          <w:jc w:val="center"/>
        </w:trPr>
        <w:tc>
          <w:tcPr>
            <w:tcW w:w="705" w:type="dxa"/>
            <w:vMerge/>
          </w:tcPr>
          <w:p w14:paraId="31304D55" w14:textId="77777777" w:rsidR="00BB4783" w:rsidRPr="00097066" w:rsidRDefault="00BB4783" w:rsidP="00303F2D">
            <w:pPr>
              <w:autoSpaceDE w:val="0"/>
              <w:autoSpaceDN w:val="0"/>
              <w:adjustRightInd w:val="0"/>
              <w:ind w:left="0"/>
              <w:jc w:val="center"/>
              <w:rPr>
                <w:sz w:val="24"/>
                <w:szCs w:val="24"/>
              </w:rPr>
            </w:pPr>
          </w:p>
        </w:tc>
        <w:tc>
          <w:tcPr>
            <w:tcW w:w="2360" w:type="dxa"/>
          </w:tcPr>
          <w:p w14:paraId="2513848E" w14:textId="77777777" w:rsidR="00BB4783" w:rsidRPr="00097066" w:rsidRDefault="00BB4783" w:rsidP="00303F2D">
            <w:pPr>
              <w:autoSpaceDE w:val="0"/>
              <w:autoSpaceDN w:val="0"/>
              <w:adjustRightInd w:val="0"/>
              <w:ind w:left="0"/>
              <w:jc w:val="center"/>
              <w:rPr>
                <w:sz w:val="24"/>
                <w:szCs w:val="24"/>
              </w:rPr>
            </w:pPr>
            <w:r w:rsidRPr="00097066">
              <w:rPr>
                <w:sz w:val="24"/>
                <w:szCs w:val="24"/>
              </w:rPr>
              <w:t>NPL</w:t>
            </w:r>
          </w:p>
        </w:tc>
        <w:tc>
          <w:tcPr>
            <w:tcW w:w="1327" w:type="dxa"/>
          </w:tcPr>
          <w:p w14:paraId="78D10AC8" w14:textId="77777777" w:rsidR="00BB4783" w:rsidRPr="00097066" w:rsidRDefault="00BB4783" w:rsidP="00303F2D">
            <w:pPr>
              <w:autoSpaceDE w:val="0"/>
              <w:autoSpaceDN w:val="0"/>
              <w:adjustRightInd w:val="0"/>
              <w:ind w:left="0"/>
              <w:jc w:val="center"/>
              <w:rPr>
                <w:sz w:val="24"/>
                <w:szCs w:val="24"/>
              </w:rPr>
            </w:pPr>
            <w:r w:rsidRPr="00097066">
              <w:rPr>
                <w:sz w:val="24"/>
                <w:szCs w:val="24"/>
              </w:rPr>
              <w:t>,545</w:t>
            </w:r>
          </w:p>
        </w:tc>
        <w:tc>
          <w:tcPr>
            <w:tcW w:w="2095" w:type="dxa"/>
          </w:tcPr>
          <w:p w14:paraId="06979AA3" w14:textId="77777777" w:rsidR="00BB4783" w:rsidRPr="00097066" w:rsidRDefault="00BB4783" w:rsidP="00303F2D">
            <w:pPr>
              <w:autoSpaceDE w:val="0"/>
              <w:autoSpaceDN w:val="0"/>
              <w:adjustRightInd w:val="0"/>
              <w:ind w:left="0"/>
              <w:jc w:val="center"/>
              <w:rPr>
                <w:sz w:val="24"/>
                <w:szCs w:val="24"/>
              </w:rPr>
            </w:pPr>
            <w:r w:rsidRPr="00097066">
              <w:rPr>
                <w:sz w:val="24"/>
                <w:szCs w:val="24"/>
              </w:rPr>
              <w:t>1,834</w:t>
            </w:r>
          </w:p>
        </w:tc>
      </w:tr>
      <w:tr w:rsidR="00BB4783" w:rsidRPr="00097066" w14:paraId="518E314A" w14:textId="77777777" w:rsidTr="00303F2D">
        <w:trPr>
          <w:trHeight w:val="260"/>
          <w:jc w:val="center"/>
        </w:trPr>
        <w:tc>
          <w:tcPr>
            <w:tcW w:w="6487" w:type="dxa"/>
            <w:gridSpan w:val="4"/>
          </w:tcPr>
          <w:p w14:paraId="7B8251EF" w14:textId="77777777" w:rsidR="00BB4783" w:rsidRPr="00097066" w:rsidRDefault="00BB4783" w:rsidP="00097066">
            <w:pPr>
              <w:autoSpaceDE w:val="0"/>
              <w:autoSpaceDN w:val="0"/>
              <w:adjustRightInd w:val="0"/>
              <w:ind w:left="0"/>
              <w:rPr>
                <w:sz w:val="24"/>
                <w:szCs w:val="24"/>
              </w:rPr>
            </w:pPr>
            <w:r w:rsidRPr="00097066">
              <w:rPr>
                <w:color w:val="010205"/>
                <w:sz w:val="24"/>
                <w:szCs w:val="24"/>
              </w:rPr>
              <w:t>a. Dependent Variable: Y</w:t>
            </w:r>
          </w:p>
        </w:tc>
      </w:tr>
    </w:tbl>
    <w:p w14:paraId="5603DD6A" w14:textId="5931C83B" w:rsidR="00BB4783" w:rsidRPr="00097066" w:rsidRDefault="00BB4783" w:rsidP="007E3264">
      <w:pPr>
        <w:tabs>
          <w:tab w:val="left" w:pos="284"/>
        </w:tabs>
        <w:ind w:left="0" w:firstLine="284"/>
        <w:jc w:val="center"/>
        <w:rPr>
          <w:sz w:val="24"/>
          <w:szCs w:val="24"/>
        </w:rPr>
      </w:pPr>
      <w:r w:rsidRPr="00097066">
        <w:rPr>
          <w:sz w:val="24"/>
          <w:szCs w:val="24"/>
          <w:lang w:val="id"/>
        </w:rPr>
        <w:t xml:space="preserve">Sumber : </w:t>
      </w:r>
      <w:r w:rsidRPr="00097066">
        <w:rPr>
          <w:i/>
          <w:sz w:val="24"/>
          <w:szCs w:val="24"/>
          <w:lang w:val="id"/>
        </w:rPr>
        <w:t>Output</w:t>
      </w:r>
      <w:r w:rsidRPr="00097066">
        <w:rPr>
          <w:sz w:val="24"/>
          <w:szCs w:val="24"/>
          <w:lang w:val="id"/>
        </w:rPr>
        <w:t xml:space="preserve"> SPSS versi 26</w:t>
      </w:r>
      <w:r w:rsidRPr="00097066">
        <w:rPr>
          <w:sz w:val="24"/>
          <w:szCs w:val="24"/>
        </w:rPr>
        <w:t>, 2023</w:t>
      </w:r>
    </w:p>
    <w:p w14:paraId="1444833C" w14:textId="0462B0D1" w:rsidR="0098424D" w:rsidRPr="007E3264" w:rsidRDefault="00181975" w:rsidP="007E3264">
      <w:pPr>
        <w:ind w:left="0" w:firstLine="709"/>
        <w:rPr>
          <w:rFonts w:eastAsia="Calibri"/>
          <w:sz w:val="24"/>
          <w:szCs w:val="24"/>
          <w:lang w:val="en-US" w:eastAsia="en-US"/>
        </w:rPr>
      </w:pPr>
      <w:r w:rsidRPr="00097066">
        <w:rPr>
          <w:rFonts w:eastAsia="Calibri"/>
          <w:kern w:val="2"/>
          <w:sz w:val="24"/>
          <w:szCs w:val="24"/>
          <w:lang w:eastAsia="en-US"/>
          <w14:ligatures w14:val="standardContextual"/>
        </w:rPr>
        <w:t xml:space="preserve">Berdasarkan tabel 2 hasil uji multikolinearitas nilai VIF untuk variabel </w:t>
      </w:r>
      <w:r w:rsidRPr="00097066">
        <w:rPr>
          <w:rFonts w:eastAsia="Calibri"/>
          <w:i/>
          <w:iCs/>
          <w:kern w:val="2"/>
          <w:sz w:val="24"/>
          <w:szCs w:val="24"/>
          <w:lang w:eastAsia="en-US"/>
          <w14:ligatures w14:val="standardContextual"/>
        </w:rPr>
        <w:t xml:space="preserve">risk profile </w:t>
      </w:r>
      <w:r w:rsidRPr="00097066">
        <w:rPr>
          <w:rFonts w:eastAsia="Calibri"/>
          <w:sz w:val="24"/>
          <w:szCs w:val="24"/>
          <w:lang w:val="en-US" w:eastAsia="en-US"/>
        </w:rPr>
        <w:t>1,089 &lt; 10</w:t>
      </w:r>
      <w:r w:rsidRPr="00097066">
        <w:rPr>
          <w:rFonts w:eastAsia="Calibri"/>
          <w:sz w:val="24"/>
          <w:szCs w:val="24"/>
          <w:lang w:eastAsia="en-US"/>
        </w:rPr>
        <w:t>, n</w:t>
      </w:r>
      <w:r w:rsidRPr="00097066">
        <w:rPr>
          <w:rFonts w:eastAsia="Calibri"/>
          <w:sz w:val="24"/>
          <w:szCs w:val="24"/>
          <w:lang w:val="en-US" w:eastAsia="en-US"/>
        </w:rPr>
        <w:t xml:space="preserve">ilai VIF untuk variabel </w:t>
      </w:r>
      <w:r w:rsidRPr="00097066">
        <w:rPr>
          <w:rFonts w:eastAsia="Calibri"/>
          <w:i/>
          <w:sz w:val="24"/>
          <w:szCs w:val="24"/>
          <w:lang w:val="en-US" w:eastAsia="en-US"/>
        </w:rPr>
        <w:t>good corporate governance</w:t>
      </w:r>
      <w:r w:rsidRPr="00097066">
        <w:rPr>
          <w:rFonts w:eastAsia="Calibri"/>
          <w:sz w:val="24"/>
          <w:szCs w:val="24"/>
          <w:lang w:val="en-US" w:eastAsia="en-US"/>
        </w:rPr>
        <w:t xml:space="preserve"> 1,471 &lt; 10</w:t>
      </w:r>
      <w:r w:rsidRPr="00097066">
        <w:rPr>
          <w:rFonts w:eastAsia="Calibri"/>
          <w:kern w:val="2"/>
          <w:sz w:val="24"/>
          <w:szCs w:val="24"/>
          <w:lang w:eastAsia="en-US"/>
          <w14:ligatures w14:val="standardContextual"/>
        </w:rPr>
        <w:t xml:space="preserve">, </w:t>
      </w:r>
      <w:r w:rsidRPr="00097066">
        <w:rPr>
          <w:rFonts w:eastAsia="Calibri"/>
          <w:sz w:val="24"/>
          <w:szCs w:val="24"/>
          <w:lang w:eastAsia="en-US"/>
        </w:rPr>
        <w:t>n</w:t>
      </w:r>
      <w:r w:rsidRPr="00097066">
        <w:rPr>
          <w:rFonts w:eastAsia="Calibri"/>
          <w:sz w:val="24"/>
          <w:szCs w:val="24"/>
          <w:lang w:val="en-US" w:eastAsia="en-US"/>
        </w:rPr>
        <w:t xml:space="preserve">ilai VIF untuk variabel </w:t>
      </w:r>
      <w:r w:rsidRPr="00097066">
        <w:rPr>
          <w:rFonts w:eastAsia="Calibri"/>
          <w:i/>
          <w:sz w:val="24"/>
          <w:szCs w:val="24"/>
          <w:lang w:val="en-US" w:eastAsia="en-US"/>
        </w:rPr>
        <w:t xml:space="preserve">earning </w:t>
      </w:r>
      <w:r w:rsidRPr="00097066">
        <w:rPr>
          <w:rFonts w:eastAsia="Calibri"/>
          <w:sz w:val="24"/>
          <w:szCs w:val="24"/>
          <w:lang w:val="en-US" w:eastAsia="en-US"/>
        </w:rPr>
        <w:t>1,265 &lt; 10</w:t>
      </w:r>
      <w:r w:rsidRPr="00097066">
        <w:rPr>
          <w:rFonts w:eastAsia="Calibri"/>
          <w:sz w:val="24"/>
          <w:szCs w:val="24"/>
          <w:lang w:eastAsia="en-US"/>
        </w:rPr>
        <w:t xml:space="preserve">, </w:t>
      </w:r>
      <w:r w:rsidRPr="00097066">
        <w:rPr>
          <w:rFonts w:eastAsia="Calibri"/>
          <w:sz w:val="24"/>
          <w:szCs w:val="24"/>
          <w:lang w:val="en-US" w:eastAsia="en-US"/>
        </w:rPr>
        <w:t xml:space="preserve">Nilai VIF untuk variabel </w:t>
      </w:r>
      <w:r w:rsidRPr="00097066">
        <w:rPr>
          <w:rFonts w:eastAsia="Calibri"/>
          <w:i/>
          <w:sz w:val="24"/>
          <w:szCs w:val="24"/>
          <w:lang w:val="en-US" w:eastAsia="en-US"/>
        </w:rPr>
        <w:t>capital</w:t>
      </w:r>
      <w:r w:rsidRPr="00097066">
        <w:rPr>
          <w:rFonts w:eastAsia="Calibri"/>
          <w:sz w:val="24"/>
          <w:szCs w:val="24"/>
          <w:lang w:val="en-US" w:eastAsia="en-US"/>
        </w:rPr>
        <w:t xml:space="preserve"> 1,834 &lt; 10</w:t>
      </w:r>
      <w:r w:rsidR="00101FE6" w:rsidRPr="00097066">
        <w:rPr>
          <w:rFonts w:eastAsia="Calibri"/>
          <w:sz w:val="24"/>
          <w:szCs w:val="24"/>
          <w:lang w:eastAsia="en-US"/>
        </w:rPr>
        <w:t>. Dari semua variabel mempunyai</w:t>
      </w:r>
      <w:r w:rsidRPr="00097066">
        <w:rPr>
          <w:rFonts w:eastAsia="Calibri"/>
          <w:sz w:val="24"/>
          <w:szCs w:val="24"/>
          <w:lang w:eastAsia="en-US"/>
        </w:rPr>
        <w:t xml:space="preserve"> nilai VIF kurang dari 10 dan nilai </w:t>
      </w:r>
      <w:r w:rsidRPr="00097066">
        <w:rPr>
          <w:rFonts w:eastAsia="Calibri"/>
          <w:i/>
          <w:iCs/>
          <w:sz w:val="24"/>
          <w:szCs w:val="24"/>
          <w:lang w:eastAsia="en-US"/>
        </w:rPr>
        <w:t xml:space="preserve">tolerance </w:t>
      </w:r>
      <w:r w:rsidRPr="00097066">
        <w:rPr>
          <w:rFonts w:eastAsia="Calibri"/>
          <w:sz w:val="24"/>
          <w:szCs w:val="24"/>
          <w:lang w:eastAsia="en-US"/>
        </w:rPr>
        <w:t>lebih dari 0,10, maka hasil dari seluruh variabel dinyatakan tidak terjadi gejala multikolinearitas.</w:t>
      </w:r>
    </w:p>
    <w:p w14:paraId="040930D4" w14:textId="0EEDCEA2" w:rsidR="00DC32DF" w:rsidRPr="00097066" w:rsidRDefault="00DC32DF" w:rsidP="007E3264">
      <w:pPr>
        <w:pStyle w:val="ListParagraph"/>
        <w:ind w:left="0" w:firstLine="0"/>
        <w:rPr>
          <w:b/>
          <w:sz w:val="24"/>
          <w:szCs w:val="24"/>
        </w:rPr>
      </w:pPr>
      <w:r w:rsidRPr="00097066">
        <w:rPr>
          <w:b/>
          <w:sz w:val="24"/>
          <w:szCs w:val="24"/>
        </w:rPr>
        <w:t xml:space="preserve">Uji </w:t>
      </w:r>
      <w:r w:rsidRPr="00097066">
        <w:rPr>
          <w:b/>
          <w:sz w:val="24"/>
          <w:szCs w:val="24"/>
          <w:lang w:val="id"/>
        </w:rPr>
        <w:t>Heterokedastisitas</w:t>
      </w:r>
    </w:p>
    <w:p w14:paraId="6FA2D588" w14:textId="77777777" w:rsidR="00DC32DF" w:rsidRPr="00097066" w:rsidRDefault="00DC32DF" w:rsidP="00097066">
      <w:pPr>
        <w:ind w:left="0" w:firstLine="0"/>
        <w:jc w:val="center"/>
        <w:rPr>
          <w:b/>
          <w:sz w:val="24"/>
          <w:szCs w:val="24"/>
        </w:rPr>
      </w:pPr>
      <w:r w:rsidRPr="00097066">
        <w:rPr>
          <w:b/>
          <w:sz w:val="24"/>
          <w:szCs w:val="24"/>
        </w:rPr>
        <w:t xml:space="preserve">Gambar 1 Hasil </w:t>
      </w:r>
      <w:r w:rsidRPr="00097066">
        <w:rPr>
          <w:b/>
          <w:i/>
          <w:sz w:val="24"/>
          <w:szCs w:val="24"/>
          <w:lang w:val="id"/>
        </w:rPr>
        <w:t>Scatterplot</w:t>
      </w:r>
    </w:p>
    <w:p w14:paraId="54E6BC2A" w14:textId="7D902530" w:rsidR="00DC32DF" w:rsidRPr="00097066" w:rsidRDefault="00181975" w:rsidP="00097066">
      <w:pPr>
        <w:ind w:left="0"/>
        <w:jc w:val="center"/>
        <w:rPr>
          <w:sz w:val="24"/>
          <w:szCs w:val="24"/>
        </w:rPr>
      </w:pPr>
      <w:r w:rsidRPr="00097066">
        <w:rPr>
          <w:noProof/>
          <w:sz w:val="24"/>
          <w:szCs w:val="24"/>
          <w:lang w:val="en-US" w:eastAsia="en-US"/>
        </w:rPr>
        <w:drawing>
          <wp:inline distT="0" distB="0" distL="0" distR="0" wp14:anchorId="1555EAE5" wp14:editId="1C211D39">
            <wp:extent cx="3599234" cy="1585609"/>
            <wp:effectExtent l="0" t="0" r="1270" b="0"/>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srcRect/>
                    <a:stretch/>
                  </pic:blipFill>
                  <pic:spPr>
                    <a:xfrm>
                      <a:off x="0" y="0"/>
                      <a:ext cx="3623827" cy="1596443"/>
                    </a:xfrm>
                    <a:prstGeom prst="rect">
                      <a:avLst/>
                    </a:prstGeom>
                    <a:ln>
                      <a:noFill/>
                    </a:ln>
                  </pic:spPr>
                </pic:pic>
              </a:graphicData>
            </a:graphic>
          </wp:inline>
        </w:drawing>
      </w:r>
    </w:p>
    <w:p w14:paraId="32CD778B" w14:textId="77777777" w:rsidR="00DC32DF" w:rsidRPr="00097066" w:rsidRDefault="00DC32DF" w:rsidP="007E3264">
      <w:pPr>
        <w:ind w:left="0" w:firstLine="0"/>
        <w:jc w:val="center"/>
        <w:rPr>
          <w:sz w:val="24"/>
          <w:szCs w:val="24"/>
        </w:rPr>
      </w:pPr>
      <w:r w:rsidRPr="00097066">
        <w:rPr>
          <w:sz w:val="24"/>
          <w:szCs w:val="24"/>
          <w:lang w:val="id"/>
        </w:rPr>
        <w:t xml:space="preserve">Sumber : </w:t>
      </w:r>
      <w:r w:rsidRPr="00097066">
        <w:rPr>
          <w:i/>
          <w:sz w:val="24"/>
          <w:szCs w:val="24"/>
          <w:lang w:val="id"/>
        </w:rPr>
        <w:t>Output</w:t>
      </w:r>
      <w:r w:rsidRPr="00097066">
        <w:rPr>
          <w:sz w:val="24"/>
          <w:szCs w:val="24"/>
          <w:lang w:val="id"/>
        </w:rPr>
        <w:t xml:space="preserve"> SPSS versi 26</w:t>
      </w:r>
      <w:r w:rsidRPr="00097066">
        <w:rPr>
          <w:sz w:val="24"/>
          <w:szCs w:val="24"/>
        </w:rPr>
        <w:t>, 2023</w:t>
      </w:r>
    </w:p>
    <w:p w14:paraId="18325CF3" w14:textId="1183B27A" w:rsidR="0098424D" w:rsidRPr="007E3264" w:rsidRDefault="0098424D" w:rsidP="007E3264">
      <w:pPr>
        <w:ind w:left="0" w:firstLine="709"/>
        <w:rPr>
          <w:sz w:val="24"/>
          <w:szCs w:val="24"/>
          <w:lang w:val="en-US"/>
        </w:rPr>
      </w:pPr>
      <w:r w:rsidRPr="00097066">
        <w:rPr>
          <w:sz w:val="24"/>
          <w:szCs w:val="24"/>
        </w:rPr>
        <w:t xml:space="preserve">Berdasarkan gambar 1 hasil </w:t>
      </w:r>
      <w:r w:rsidRPr="00097066">
        <w:rPr>
          <w:i/>
          <w:iCs/>
          <w:sz w:val="24"/>
          <w:szCs w:val="24"/>
        </w:rPr>
        <w:t xml:space="preserve">scatterplot </w:t>
      </w:r>
      <w:r w:rsidRPr="00097066">
        <w:rPr>
          <w:sz w:val="24"/>
          <w:szCs w:val="24"/>
        </w:rPr>
        <w:t>menunjukkan bahwa titik-titik didistribusikan secara acak dan tersebar di atas dan di bawah nilai 0 pada su</w:t>
      </w:r>
      <w:r w:rsidR="00E7120E" w:rsidRPr="00097066">
        <w:rPr>
          <w:sz w:val="24"/>
          <w:szCs w:val="24"/>
        </w:rPr>
        <w:t>mbu Y. Hal ini menunjukkan</w:t>
      </w:r>
      <w:r w:rsidRPr="00097066">
        <w:rPr>
          <w:sz w:val="24"/>
          <w:szCs w:val="24"/>
        </w:rPr>
        <w:t xml:space="preserve"> tidak terjadi heteroskedastisitas pada model regresi ini.</w:t>
      </w:r>
    </w:p>
    <w:p w14:paraId="4FF06119" w14:textId="77777777" w:rsidR="00DC32DF" w:rsidRPr="00097066" w:rsidRDefault="00DC32DF" w:rsidP="007E3264">
      <w:pPr>
        <w:pStyle w:val="ListParagraph"/>
        <w:ind w:left="0" w:firstLine="0"/>
        <w:rPr>
          <w:b/>
          <w:sz w:val="24"/>
          <w:szCs w:val="24"/>
        </w:rPr>
      </w:pPr>
      <w:r w:rsidRPr="00097066">
        <w:rPr>
          <w:b/>
          <w:sz w:val="24"/>
          <w:szCs w:val="24"/>
        </w:rPr>
        <w:t>Uji Autokorelasi</w:t>
      </w:r>
    </w:p>
    <w:p w14:paraId="53C9EA87" w14:textId="77777777" w:rsidR="00DC32DF" w:rsidRPr="00097066" w:rsidRDefault="00DC32DF" w:rsidP="00097066">
      <w:pPr>
        <w:ind w:left="0" w:firstLine="0"/>
        <w:jc w:val="center"/>
        <w:rPr>
          <w:b/>
          <w:sz w:val="24"/>
          <w:szCs w:val="24"/>
        </w:rPr>
      </w:pPr>
      <w:r w:rsidRPr="00097066">
        <w:rPr>
          <w:b/>
          <w:sz w:val="24"/>
          <w:szCs w:val="24"/>
        </w:rPr>
        <w:t>Tabel 4 Hasil Uji Autkorelasi</w:t>
      </w:r>
    </w:p>
    <w:tbl>
      <w:tblPr>
        <w:tblStyle w:val="TableGrid"/>
        <w:tblW w:w="7348" w:type="dxa"/>
        <w:jc w:val="center"/>
        <w:tblLayout w:type="fixed"/>
        <w:tblLook w:val="0000" w:firstRow="0" w:lastRow="0" w:firstColumn="0" w:lastColumn="0" w:noHBand="0" w:noVBand="0"/>
      </w:tblPr>
      <w:tblGrid>
        <w:gridCol w:w="959"/>
        <w:gridCol w:w="869"/>
        <w:gridCol w:w="1092"/>
        <w:gridCol w:w="1476"/>
        <w:gridCol w:w="1476"/>
        <w:gridCol w:w="1476"/>
      </w:tblGrid>
      <w:tr w:rsidR="0098424D" w:rsidRPr="00097066" w14:paraId="380FE464" w14:textId="77777777" w:rsidTr="007E3264">
        <w:trPr>
          <w:jc w:val="center"/>
        </w:trPr>
        <w:tc>
          <w:tcPr>
            <w:tcW w:w="7348" w:type="dxa"/>
            <w:gridSpan w:val="6"/>
          </w:tcPr>
          <w:p w14:paraId="055F6770" w14:textId="77777777" w:rsidR="0098424D" w:rsidRPr="00097066" w:rsidRDefault="0098424D" w:rsidP="00097066">
            <w:pPr>
              <w:autoSpaceDE w:val="0"/>
              <w:autoSpaceDN w:val="0"/>
              <w:adjustRightInd w:val="0"/>
              <w:ind w:left="0" w:firstLine="0"/>
              <w:jc w:val="center"/>
              <w:rPr>
                <w:color w:val="010205"/>
                <w:sz w:val="24"/>
                <w:szCs w:val="24"/>
              </w:rPr>
            </w:pPr>
            <w:bookmarkStart w:id="4" w:name="_Hlk147175596"/>
            <w:r w:rsidRPr="00097066">
              <w:rPr>
                <w:b/>
                <w:bCs/>
                <w:color w:val="010205"/>
                <w:sz w:val="24"/>
                <w:szCs w:val="24"/>
              </w:rPr>
              <w:t>Model Summary</w:t>
            </w:r>
            <w:r w:rsidRPr="00097066">
              <w:rPr>
                <w:b/>
                <w:bCs/>
                <w:color w:val="010205"/>
                <w:sz w:val="24"/>
                <w:szCs w:val="24"/>
                <w:vertAlign w:val="superscript"/>
              </w:rPr>
              <w:t>b</w:t>
            </w:r>
          </w:p>
        </w:tc>
      </w:tr>
      <w:tr w:rsidR="0098424D" w:rsidRPr="00097066" w14:paraId="549C6BE6" w14:textId="77777777" w:rsidTr="007E3264">
        <w:trPr>
          <w:jc w:val="center"/>
        </w:trPr>
        <w:tc>
          <w:tcPr>
            <w:tcW w:w="959" w:type="dxa"/>
          </w:tcPr>
          <w:p w14:paraId="54B9ACB7" w14:textId="77777777" w:rsidR="0098424D" w:rsidRPr="00097066" w:rsidRDefault="0098424D" w:rsidP="007E3264">
            <w:pPr>
              <w:autoSpaceDE w:val="0"/>
              <w:autoSpaceDN w:val="0"/>
              <w:adjustRightInd w:val="0"/>
              <w:ind w:left="0" w:firstLine="0"/>
              <w:jc w:val="center"/>
              <w:rPr>
                <w:sz w:val="24"/>
                <w:szCs w:val="24"/>
              </w:rPr>
            </w:pPr>
            <w:r w:rsidRPr="00097066">
              <w:rPr>
                <w:sz w:val="24"/>
                <w:szCs w:val="24"/>
              </w:rPr>
              <w:t>Model</w:t>
            </w:r>
          </w:p>
        </w:tc>
        <w:tc>
          <w:tcPr>
            <w:tcW w:w="869" w:type="dxa"/>
          </w:tcPr>
          <w:p w14:paraId="7223C0E5" w14:textId="77777777" w:rsidR="0098424D" w:rsidRPr="00097066" w:rsidRDefault="0098424D" w:rsidP="007E3264">
            <w:pPr>
              <w:autoSpaceDE w:val="0"/>
              <w:autoSpaceDN w:val="0"/>
              <w:adjustRightInd w:val="0"/>
              <w:ind w:left="0" w:firstLine="0"/>
              <w:jc w:val="center"/>
              <w:rPr>
                <w:sz w:val="24"/>
                <w:szCs w:val="24"/>
              </w:rPr>
            </w:pPr>
            <w:r w:rsidRPr="00097066">
              <w:rPr>
                <w:sz w:val="24"/>
                <w:szCs w:val="24"/>
              </w:rPr>
              <w:t>R</w:t>
            </w:r>
          </w:p>
        </w:tc>
        <w:tc>
          <w:tcPr>
            <w:tcW w:w="1092" w:type="dxa"/>
          </w:tcPr>
          <w:p w14:paraId="60ABF7EB" w14:textId="77777777" w:rsidR="0098424D" w:rsidRPr="00097066" w:rsidRDefault="0098424D" w:rsidP="007E3264">
            <w:pPr>
              <w:autoSpaceDE w:val="0"/>
              <w:autoSpaceDN w:val="0"/>
              <w:adjustRightInd w:val="0"/>
              <w:ind w:left="0" w:firstLine="0"/>
              <w:jc w:val="center"/>
              <w:rPr>
                <w:sz w:val="24"/>
                <w:szCs w:val="24"/>
              </w:rPr>
            </w:pPr>
            <w:r w:rsidRPr="00097066">
              <w:rPr>
                <w:sz w:val="24"/>
                <w:szCs w:val="24"/>
              </w:rPr>
              <w:t>R Square</w:t>
            </w:r>
          </w:p>
        </w:tc>
        <w:tc>
          <w:tcPr>
            <w:tcW w:w="1476" w:type="dxa"/>
          </w:tcPr>
          <w:p w14:paraId="4052CD69" w14:textId="68D0E2FB" w:rsidR="0098424D" w:rsidRPr="00097066" w:rsidRDefault="0098424D" w:rsidP="007E3264">
            <w:pPr>
              <w:autoSpaceDE w:val="0"/>
              <w:autoSpaceDN w:val="0"/>
              <w:adjustRightInd w:val="0"/>
              <w:ind w:left="0" w:firstLine="0"/>
              <w:jc w:val="center"/>
              <w:rPr>
                <w:sz w:val="24"/>
                <w:szCs w:val="24"/>
              </w:rPr>
            </w:pPr>
            <w:r w:rsidRPr="00097066">
              <w:rPr>
                <w:sz w:val="24"/>
                <w:szCs w:val="24"/>
              </w:rPr>
              <w:t>Adjusted R Square</w:t>
            </w:r>
          </w:p>
        </w:tc>
        <w:tc>
          <w:tcPr>
            <w:tcW w:w="1476" w:type="dxa"/>
          </w:tcPr>
          <w:p w14:paraId="439F0338" w14:textId="77777777" w:rsidR="0098424D" w:rsidRPr="00097066" w:rsidRDefault="0098424D" w:rsidP="007E3264">
            <w:pPr>
              <w:autoSpaceDE w:val="0"/>
              <w:autoSpaceDN w:val="0"/>
              <w:adjustRightInd w:val="0"/>
              <w:ind w:left="0" w:firstLine="0"/>
              <w:jc w:val="center"/>
              <w:rPr>
                <w:sz w:val="24"/>
                <w:szCs w:val="24"/>
              </w:rPr>
            </w:pPr>
            <w:r w:rsidRPr="00097066">
              <w:rPr>
                <w:sz w:val="24"/>
                <w:szCs w:val="24"/>
              </w:rPr>
              <w:t>Std. Error of the Estimate</w:t>
            </w:r>
          </w:p>
        </w:tc>
        <w:tc>
          <w:tcPr>
            <w:tcW w:w="1476" w:type="dxa"/>
          </w:tcPr>
          <w:p w14:paraId="464B5F86" w14:textId="77777777" w:rsidR="0098424D" w:rsidRPr="00097066" w:rsidRDefault="0098424D" w:rsidP="007E3264">
            <w:pPr>
              <w:autoSpaceDE w:val="0"/>
              <w:autoSpaceDN w:val="0"/>
              <w:adjustRightInd w:val="0"/>
              <w:ind w:left="0" w:firstLine="0"/>
              <w:jc w:val="center"/>
              <w:rPr>
                <w:sz w:val="24"/>
                <w:szCs w:val="24"/>
              </w:rPr>
            </w:pPr>
            <w:r w:rsidRPr="00097066">
              <w:rPr>
                <w:sz w:val="24"/>
                <w:szCs w:val="24"/>
              </w:rPr>
              <w:t>Durbin-Watson</w:t>
            </w:r>
          </w:p>
        </w:tc>
      </w:tr>
      <w:tr w:rsidR="0098424D" w:rsidRPr="00097066" w14:paraId="23B5DF16" w14:textId="77777777" w:rsidTr="007E3264">
        <w:trPr>
          <w:jc w:val="center"/>
        </w:trPr>
        <w:tc>
          <w:tcPr>
            <w:tcW w:w="959" w:type="dxa"/>
          </w:tcPr>
          <w:p w14:paraId="0FE436B1" w14:textId="77777777" w:rsidR="0098424D" w:rsidRPr="00097066" w:rsidRDefault="0098424D" w:rsidP="007E3264">
            <w:pPr>
              <w:autoSpaceDE w:val="0"/>
              <w:autoSpaceDN w:val="0"/>
              <w:adjustRightInd w:val="0"/>
              <w:ind w:left="0" w:firstLine="0"/>
              <w:jc w:val="center"/>
              <w:rPr>
                <w:sz w:val="24"/>
                <w:szCs w:val="24"/>
              </w:rPr>
            </w:pPr>
            <w:r w:rsidRPr="00097066">
              <w:rPr>
                <w:sz w:val="24"/>
                <w:szCs w:val="24"/>
              </w:rPr>
              <w:t>1</w:t>
            </w:r>
          </w:p>
        </w:tc>
        <w:tc>
          <w:tcPr>
            <w:tcW w:w="869" w:type="dxa"/>
          </w:tcPr>
          <w:p w14:paraId="4112D980" w14:textId="77777777" w:rsidR="0098424D" w:rsidRPr="00097066" w:rsidRDefault="0098424D" w:rsidP="007E3264">
            <w:pPr>
              <w:autoSpaceDE w:val="0"/>
              <w:autoSpaceDN w:val="0"/>
              <w:adjustRightInd w:val="0"/>
              <w:ind w:left="0" w:firstLine="0"/>
              <w:jc w:val="center"/>
              <w:rPr>
                <w:sz w:val="24"/>
                <w:szCs w:val="24"/>
              </w:rPr>
            </w:pPr>
            <w:r w:rsidRPr="00097066">
              <w:rPr>
                <w:sz w:val="24"/>
                <w:szCs w:val="24"/>
              </w:rPr>
              <w:t>,515</w:t>
            </w:r>
            <w:r w:rsidRPr="00097066">
              <w:rPr>
                <w:sz w:val="24"/>
                <w:szCs w:val="24"/>
                <w:vertAlign w:val="superscript"/>
              </w:rPr>
              <w:t>a</w:t>
            </w:r>
          </w:p>
        </w:tc>
        <w:tc>
          <w:tcPr>
            <w:tcW w:w="1092" w:type="dxa"/>
          </w:tcPr>
          <w:p w14:paraId="0B2EDBFE" w14:textId="77777777" w:rsidR="0098424D" w:rsidRPr="00097066" w:rsidRDefault="0098424D" w:rsidP="007E3264">
            <w:pPr>
              <w:autoSpaceDE w:val="0"/>
              <w:autoSpaceDN w:val="0"/>
              <w:adjustRightInd w:val="0"/>
              <w:ind w:left="0" w:firstLine="0"/>
              <w:jc w:val="center"/>
              <w:rPr>
                <w:sz w:val="24"/>
                <w:szCs w:val="24"/>
              </w:rPr>
            </w:pPr>
            <w:r w:rsidRPr="00097066">
              <w:rPr>
                <w:sz w:val="24"/>
                <w:szCs w:val="24"/>
              </w:rPr>
              <w:t>,266</w:t>
            </w:r>
          </w:p>
        </w:tc>
        <w:tc>
          <w:tcPr>
            <w:tcW w:w="1476" w:type="dxa"/>
          </w:tcPr>
          <w:p w14:paraId="1FBA669C" w14:textId="77777777" w:rsidR="0098424D" w:rsidRPr="00097066" w:rsidRDefault="0098424D" w:rsidP="007E3264">
            <w:pPr>
              <w:autoSpaceDE w:val="0"/>
              <w:autoSpaceDN w:val="0"/>
              <w:adjustRightInd w:val="0"/>
              <w:ind w:left="0" w:firstLine="0"/>
              <w:jc w:val="center"/>
              <w:rPr>
                <w:sz w:val="24"/>
                <w:szCs w:val="24"/>
              </w:rPr>
            </w:pPr>
            <w:r w:rsidRPr="00097066">
              <w:rPr>
                <w:sz w:val="24"/>
                <w:szCs w:val="24"/>
              </w:rPr>
              <w:t>,161</w:t>
            </w:r>
          </w:p>
        </w:tc>
        <w:tc>
          <w:tcPr>
            <w:tcW w:w="1476" w:type="dxa"/>
          </w:tcPr>
          <w:p w14:paraId="4CFF1F26" w14:textId="77777777" w:rsidR="0098424D" w:rsidRPr="00097066" w:rsidRDefault="0098424D" w:rsidP="007E3264">
            <w:pPr>
              <w:autoSpaceDE w:val="0"/>
              <w:autoSpaceDN w:val="0"/>
              <w:adjustRightInd w:val="0"/>
              <w:ind w:left="0" w:firstLine="0"/>
              <w:jc w:val="center"/>
              <w:rPr>
                <w:sz w:val="24"/>
                <w:szCs w:val="24"/>
              </w:rPr>
            </w:pPr>
            <w:r w:rsidRPr="00097066">
              <w:rPr>
                <w:sz w:val="24"/>
                <w:szCs w:val="24"/>
              </w:rPr>
              <w:t>24,85791</w:t>
            </w:r>
          </w:p>
        </w:tc>
        <w:tc>
          <w:tcPr>
            <w:tcW w:w="1476" w:type="dxa"/>
          </w:tcPr>
          <w:p w14:paraId="725AE2A6" w14:textId="77777777" w:rsidR="0098424D" w:rsidRPr="00097066" w:rsidRDefault="0098424D" w:rsidP="007E3264">
            <w:pPr>
              <w:autoSpaceDE w:val="0"/>
              <w:autoSpaceDN w:val="0"/>
              <w:adjustRightInd w:val="0"/>
              <w:ind w:left="0" w:firstLine="0"/>
              <w:jc w:val="center"/>
              <w:rPr>
                <w:sz w:val="24"/>
                <w:szCs w:val="24"/>
              </w:rPr>
            </w:pPr>
            <w:r w:rsidRPr="00097066">
              <w:rPr>
                <w:sz w:val="24"/>
                <w:szCs w:val="24"/>
              </w:rPr>
              <w:t>1,171</w:t>
            </w:r>
          </w:p>
        </w:tc>
      </w:tr>
      <w:tr w:rsidR="0098424D" w:rsidRPr="00097066" w14:paraId="01FDB2D6" w14:textId="77777777" w:rsidTr="007E3264">
        <w:trPr>
          <w:jc w:val="center"/>
        </w:trPr>
        <w:tc>
          <w:tcPr>
            <w:tcW w:w="7348" w:type="dxa"/>
            <w:gridSpan w:val="6"/>
          </w:tcPr>
          <w:p w14:paraId="133C0E4F" w14:textId="77777777" w:rsidR="0098424D" w:rsidRPr="00097066" w:rsidRDefault="0098424D" w:rsidP="007E3264">
            <w:pPr>
              <w:autoSpaceDE w:val="0"/>
              <w:autoSpaceDN w:val="0"/>
              <w:adjustRightInd w:val="0"/>
              <w:ind w:left="0" w:firstLine="0"/>
              <w:jc w:val="center"/>
              <w:rPr>
                <w:color w:val="010205"/>
                <w:sz w:val="24"/>
                <w:szCs w:val="24"/>
              </w:rPr>
            </w:pPr>
            <w:r w:rsidRPr="00097066">
              <w:rPr>
                <w:color w:val="010205"/>
                <w:sz w:val="24"/>
                <w:szCs w:val="24"/>
              </w:rPr>
              <w:t>a. Predictors: (Constant), NPL, KOMISARIS INDEPENDEN, CAPITAL, ROA</w:t>
            </w:r>
          </w:p>
        </w:tc>
      </w:tr>
      <w:tr w:rsidR="0098424D" w:rsidRPr="00097066" w14:paraId="4A4887FC" w14:textId="77777777" w:rsidTr="007E3264">
        <w:trPr>
          <w:jc w:val="center"/>
        </w:trPr>
        <w:tc>
          <w:tcPr>
            <w:tcW w:w="7348" w:type="dxa"/>
            <w:gridSpan w:val="6"/>
          </w:tcPr>
          <w:p w14:paraId="7CC26FD0" w14:textId="77777777" w:rsidR="0098424D" w:rsidRPr="00097066" w:rsidRDefault="0098424D" w:rsidP="007E3264">
            <w:pPr>
              <w:autoSpaceDE w:val="0"/>
              <w:autoSpaceDN w:val="0"/>
              <w:adjustRightInd w:val="0"/>
              <w:ind w:left="0" w:firstLine="0"/>
              <w:jc w:val="center"/>
              <w:rPr>
                <w:color w:val="010205"/>
                <w:sz w:val="24"/>
                <w:szCs w:val="24"/>
              </w:rPr>
            </w:pPr>
            <w:r w:rsidRPr="00097066">
              <w:rPr>
                <w:color w:val="010205"/>
                <w:sz w:val="24"/>
                <w:szCs w:val="24"/>
              </w:rPr>
              <w:t>b. Dependent Variable: Y</w:t>
            </w:r>
          </w:p>
        </w:tc>
      </w:tr>
    </w:tbl>
    <w:bookmarkEnd w:id="4"/>
    <w:p w14:paraId="4EEB3B8B" w14:textId="5F24A3C0" w:rsidR="00DC32DF" w:rsidRPr="00097066" w:rsidRDefault="00DC32DF" w:rsidP="007E3264">
      <w:pPr>
        <w:ind w:left="0" w:firstLine="0"/>
        <w:jc w:val="center"/>
        <w:rPr>
          <w:sz w:val="24"/>
          <w:szCs w:val="24"/>
        </w:rPr>
      </w:pPr>
      <w:r w:rsidRPr="00097066">
        <w:rPr>
          <w:sz w:val="24"/>
          <w:szCs w:val="24"/>
          <w:lang w:val="id"/>
        </w:rPr>
        <w:t xml:space="preserve">Sumber : </w:t>
      </w:r>
      <w:r w:rsidRPr="00097066">
        <w:rPr>
          <w:i/>
          <w:sz w:val="24"/>
          <w:szCs w:val="24"/>
          <w:lang w:val="id"/>
        </w:rPr>
        <w:t>Output</w:t>
      </w:r>
      <w:r w:rsidRPr="00097066">
        <w:rPr>
          <w:sz w:val="24"/>
          <w:szCs w:val="24"/>
          <w:lang w:val="id"/>
        </w:rPr>
        <w:t xml:space="preserve"> SPSS versi 26</w:t>
      </w:r>
      <w:r w:rsidRPr="00097066">
        <w:rPr>
          <w:sz w:val="24"/>
          <w:szCs w:val="24"/>
        </w:rPr>
        <w:t>, 2023</w:t>
      </w:r>
    </w:p>
    <w:p w14:paraId="6554D2A5" w14:textId="0BFDE139" w:rsidR="0098424D" w:rsidRPr="00097066" w:rsidRDefault="0098424D" w:rsidP="007E3264">
      <w:pPr>
        <w:ind w:left="0" w:firstLine="709"/>
        <w:rPr>
          <w:sz w:val="24"/>
          <w:szCs w:val="24"/>
          <w:lang w:val="en-US"/>
        </w:rPr>
      </w:pPr>
      <w:bookmarkStart w:id="5" w:name="_Hlk147175681"/>
      <w:r w:rsidRPr="00097066">
        <w:rPr>
          <w:sz w:val="24"/>
          <w:szCs w:val="24"/>
          <w:lang w:val="en-US"/>
        </w:rPr>
        <w:t xml:space="preserve">Berdasarkan tabel 4.13 dari hasil </w:t>
      </w:r>
      <w:r w:rsidRPr="00097066">
        <w:rPr>
          <w:i/>
          <w:iCs/>
          <w:sz w:val="24"/>
          <w:szCs w:val="24"/>
          <w:lang w:val="en-US"/>
        </w:rPr>
        <w:t>output</w:t>
      </w:r>
      <w:r w:rsidRPr="00097066">
        <w:rPr>
          <w:sz w:val="24"/>
          <w:szCs w:val="24"/>
          <w:lang w:val="en-US"/>
        </w:rPr>
        <w:t xml:space="preserve"> SPSS di atas nilai dW sebesar 1,171 dengan jumlah variabel independen 4 (k=4). Nilai dL atau batas bawahnya 0,4441 dan nilai dU atau batas atasnya 2,2833. Berdasarkan nilai dW sebesar </w:t>
      </w:r>
      <w:r w:rsidRPr="00097066">
        <w:rPr>
          <w:sz w:val="24"/>
          <w:szCs w:val="24"/>
          <w:lang w:val="en-US"/>
        </w:rPr>
        <w:lastRenderedPageBreak/>
        <w:t>1,171 berada diantara nilai dL dan dU (dU &lt; dW &lt; 4-dU), artinya persamaan regresi di atas tidak ada gejala autokorelasi</w:t>
      </w:r>
      <w:bookmarkEnd w:id="5"/>
      <w:r w:rsidRPr="00097066">
        <w:rPr>
          <w:sz w:val="24"/>
          <w:szCs w:val="24"/>
          <w:lang w:val="en-US"/>
        </w:rPr>
        <w:t>.</w:t>
      </w:r>
    </w:p>
    <w:p w14:paraId="21AAA4C5" w14:textId="77777777" w:rsidR="00DC32DF" w:rsidRPr="00097066" w:rsidRDefault="00DC32DF" w:rsidP="007E3264">
      <w:pPr>
        <w:pStyle w:val="ListParagraph"/>
        <w:ind w:left="0" w:firstLine="0"/>
        <w:rPr>
          <w:b/>
          <w:sz w:val="24"/>
          <w:szCs w:val="24"/>
        </w:rPr>
      </w:pPr>
      <w:r w:rsidRPr="00097066">
        <w:rPr>
          <w:b/>
          <w:sz w:val="24"/>
          <w:szCs w:val="24"/>
        </w:rPr>
        <w:t>Analisis Regresi Linear Berganda</w:t>
      </w:r>
    </w:p>
    <w:p w14:paraId="2A7FE40C" w14:textId="77777777" w:rsidR="00DC32DF" w:rsidRPr="00097066" w:rsidRDefault="00DC32DF" w:rsidP="007E3264">
      <w:pPr>
        <w:ind w:left="0" w:firstLine="0"/>
        <w:rPr>
          <w:sz w:val="24"/>
          <w:szCs w:val="24"/>
        </w:rPr>
      </w:pPr>
      <w:r w:rsidRPr="00097066">
        <w:rPr>
          <w:sz w:val="24"/>
          <w:szCs w:val="24"/>
        </w:rPr>
        <w:t xml:space="preserve">Model </w:t>
      </w:r>
      <w:r w:rsidRPr="00097066">
        <w:rPr>
          <w:sz w:val="24"/>
          <w:szCs w:val="24"/>
          <w:lang w:val="id"/>
        </w:rPr>
        <w:t>persamaan</w:t>
      </w:r>
      <w:r w:rsidRPr="00097066">
        <w:rPr>
          <w:sz w:val="24"/>
          <w:szCs w:val="24"/>
        </w:rPr>
        <w:t xml:space="preserve"> </w:t>
      </w:r>
      <w:r w:rsidRPr="00097066">
        <w:rPr>
          <w:sz w:val="24"/>
          <w:szCs w:val="24"/>
          <w:lang w:val="id"/>
        </w:rPr>
        <w:t>regresi linier berganda sebagai berikut :</w:t>
      </w:r>
    </w:p>
    <w:p w14:paraId="301F4A59" w14:textId="77777777" w:rsidR="0098424D" w:rsidRPr="007E3264" w:rsidRDefault="0098424D" w:rsidP="007E3264">
      <w:pPr>
        <w:ind w:left="0" w:firstLine="0"/>
        <w:rPr>
          <w:bCs/>
          <w:sz w:val="24"/>
          <w:szCs w:val="24"/>
        </w:rPr>
      </w:pPr>
      <w:bookmarkStart w:id="6" w:name="_Hlk147175932"/>
      <w:r w:rsidRPr="007E3264">
        <w:rPr>
          <w:bCs/>
          <w:sz w:val="24"/>
          <w:szCs w:val="24"/>
        </w:rPr>
        <w:t xml:space="preserve">TKBi,t = </w:t>
      </w:r>
      <w:r w:rsidRPr="007E3264">
        <w:rPr>
          <w:bCs/>
          <w:sz w:val="24"/>
          <w:szCs w:val="24"/>
          <w:lang w:val="el-GR"/>
        </w:rPr>
        <w:t>α</w:t>
      </w:r>
      <w:r w:rsidRPr="007E3264">
        <w:rPr>
          <w:bCs/>
          <w:sz w:val="24"/>
          <w:szCs w:val="24"/>
        </w:rPr>
        <w:t xml:space="preserve"> + </w:t>
      </w:r>
      <w:r w:rsidRPr="007E3264">
        <w:rPr>
          <w:bCs/>
          <w:sz w:val="24"/>
          <w:szCs w:val="24"/>
          <w:lang w:val="el-GR"/>
        </w:rPr>
        <w:t>β</w:t>
      </w:r>
      <w:r w:rsidRPr="007E3264">
        <w:rPr>
          <w:bCs/>
          <w:iCs/>
          <w:sz w:val="24"/>
          <w:szCs w:val="24"/>
        </w:rPr>
        <w:t>1RP</w:t>
      </w:r>
      <w:r w:rsidRPr="007E3264">
        <w:rPr>
          <w:bCs/>
          <w:i/>
          <w:iCs/>
          <w:sz w:val="24"/>
          <w:szCs w:val="24"/>
        </w:rPr>
        <w:t>i,t</w:t>
      </w:r>
      <w:r w:rsidRPr="007E3264">
        <w:rPr>
          <w:bCs/>
          <w:sz w:val="24"/>
          <w:szCs w:val="24"/>
        </w:rPr>
        <w:t xml:space="preserve"> + </w:t>
      </w:r>
      <w:r w:rsidRPr="007E3264">
        <w:rPr>
          <w:bCs/>
          <w:sz w:val="24"/>
          <w:szCs w:val="24"/>
          <w:lang w:val="el-GR"/>
        </w:rPr>
        <w:t>β</w:t>
      </w:r>
      <w:r w:rsidRPr="007E3264">
        <w:rPr>
          <w:bCs/>
          <w:sz w:val="24"/>
          <w:szCs w:val="24"/>
        </w:rPr>
        <w:t xml:space="preserve">2GCGi,t + </w:t>
      </w:r>
      <w:r w:rsidRPr="007E3264">
        <w:rPr>
          <w:bCs/>
          <w:sz w:val="24"/>
          <w:szCs w:val="24"/>
          <w:lang w:val="el-GR"/>
        </w:rPr>
        <w:t>β</w:t>
      </w:r>
      <w:r w:rsidRPr="007E3264">
        <w:rPr>
          <w:bCs/>
          <w:sz w:val="24"/>
          <w:szCs w:val="24"/>
        </w:rPr>
        <w:t xml:space="preserve">3ERi,t + </w:t>
      </w:r>
      <w:r w:rsidRPr="007E3264">
        <w:rPr>
          <w:bCs/>
          <w:sz w:val="24"/>
          <w:szCs w:val="24"/>
          <w:lang w:val="el-GR"/>
        </w:rPr>
        <w:t>β</w:t>
      </w:r>
      <w:r w:rsidRPr="007E3264">
        <w:rPr>
          <w:bCs/>
          <w:sz w:val="24"/>
          <w:szCs w:val="24"/>
        </w:rPr>
        <w:t>4CPi,t + e</w:t>
      </w:r>
    </w:p>
    <w:bookmarkEnd w:id="6"/>
    <w:p w14:paraId="65B01151" w14:textId="77777777" w:rsidR="0098424D" w:rsidRPr="00097066" w:rsidRDefault="0098424D" w:rsidP="007E3264">
      <w:pPr>
        <w:ind w:left="0" w:firstLine="0"/>
        <w:rPr>
          <w:sz w:val="24"/>
          <w:szCs w:val="24"/>
          <w:lang w:val="id"/>
        </w:rPr>
      </w:pPr>
      <w:r w:rsidRPr="00097066">
        <w:rPr>
          <w:bCs/>
          <w:sz w:val="24"/>
          <w:szCs w:val="24"/>
        </w:rPr>
        <w:t>TKBi,t</w:t>
      </w:r>
      <w:r w:rsidRPr="00097066">
        <w:rPr>
          <w:sz w:val="24"/>
          <w:szCs w:val="24"/>
          <w:lang w:val="en-US"/>
        </w:rPr>
        <w:t xml:space="preserve"> = 193,049 – 16,202</w:t>
      </w:r>
      <w:r w:rsidRPr="00097066">
        <w:rPr>
          <w:bCs/>
          <w:iCs/>
          <w:sz w:val="24"/>
          <w:szCs w:val="24"/>
        </w:rPr>
        <w:t>RP</w:t>
      </w:r>
      <w:r w:rsidRPr="00097066">
        <w:rPr>
          <w:bCs/>
          <w:i/>
          <w:iCs/>
          <w:sz w:val="24"/>
          <w:szCs w:val="24"/>
        </w:rPr>
        <w:t>i,t</w:t>
      </w:r>
      <w:r w:rsidRPr="00097066">
        <w:rPr>
          <w:bCs/>
          <w:i/>
          <w:iCs/>
          <w:sz w:val="24"/>
          <w:szCs w:val="24"/>
          <w:lang w:val="en-US"/>
        </w:rPr>
        <w:t xml:space="preserve"> </w:t>
      </w:r>
      <w:r w:rsidRPr="00097066">
        <w:rPr>
          <w:bCs/>
          <w:sz w:val="24"/>
          <w:szCs w:val="24"/>
        </w:rPr>
        <w:t xml:space="preserve">– </w:t>
      </w:r>
      <w:r w:rsidRPr="00097066">
        <w:rPr>
          <w:bCs/>
          <w:sz w:val="24"/>
          <w:szCs w:val="24"/>
          <w:lang w:val="en-US"/>
        </w:rPr>
        <w:t>0,</w:t>
      </w:r>
      <w:r w:rsidRPr="00097066">
        <w:rPr>
          <w:bCs/>
          <w:sz w:val="24"/>
          <w:szCs w:val="24"/>
          <w:lang w:val="el-GR"/>
        </w:rPr>
        <w:t>727</w:t>
      </w:r>
      <w:r w:rsidRPr="00097066">
        <w:rPr>
          <w:bCs/>
          <w:sz w:val="24"/>
          <w:szCs w:val="24"/>
        </w:rPr>
        <w:t xml:space="preserve">GCGi,t + </w:t>
      </w:r>
      <w:r w:rsidRPr="00097066">
        <w:rPr>
          <w:bCs/>
          <w:sz w:val="24"/>
          <w:szCs w:val="24"/>
          <w:lang w:val="el-GR"/>
        </w:rPr>
        <w:t>4,332</w:t>
      </w:r>
      <w:r w:rsidRPr="00097066">
        <w:rPr>
          <w:bCs/>
          <w:sz w:val="24"/>
          <w:szCs w:val="24"/>
        </w:rPr>
        <w:t xml:space="preserve">ERi,t – </w:t>
      </w:r>
      <w:r w:rsidRPr="00097066">
        <w:rPr>
          <w:bCs/>
          <w:sz w:val="24"/>
          <w:szCs w:val="24"/>
          <w:lang w:val="el-GR"/>
        </w:rPr>
        <w:t>1,</w:t>
      </w:r>
      <w:r w:rsidRPr="00097066">
        <w:rPr>
          <w:bCs/>
          <w:sz w:val="24"/>
          <w:szCs w:val="24"/>
          <w:lang w:val="en-US"/>
        </w:rPr>
        <w:t>608</w:t>
      </w:r>
      <w:r w:rsidRPr="00097066">
        <w:rPr>
          <w:bCs/>
          <w:sz w:val="24"/>
          <w:szCs w:val="24"/>
        </w:rPr>
        <w:t>CPi,t + e</w:t>
      </w:r>
    </w:p>
    <w:p w14:paraId="7B720310" w14:textId="7ECEFC40" w:rsidR="00DC32DF" w:rsidRPr="00097066" w:rsidRDefault="00DC32DF" w:rsidP="00097066">
      <w:pPr>
        <w:ind w:left="0" w:firstLine="709"/>
        <w:rPr>
          <w:sz w:val="24"/>
          <w:szCs w:val="24"/>
          <w:lang w:val="id"/>
        </w:rPr>
      </w:pPr>
      <w:r w:rsidRPr="00097066">
        <w:rPr>
          <w:sz w:val="24"/>
          <w:szCs w:val="24"/>
          <w:lang w:val="id"/>
        </w:rPr>
        <w:t>Berdasarkan persamaan regresi diatas, maka berikut ini interpretasi atau penjelasan dari persamaan di</w:t>
      </w:r>
      <w:r w:rsidRPr="00097066">
        <w:rPr>
          <w:sz w:val="24"/>
          <w:szCs w:val="24"/>
        </w:rPr>
        <w:t xml:space="preserve"> </w:t>
      </w:r>
      <w:r w:rsidRPr="00097066">
        <w:rPr>
          <w:sz w:val="24"/>
          <w:szCs w:val="24"/>
          <w:lang w:val="id"/>
        </w:rPr>
        <w:t>atas :</w:t>
      </w:r>
    </w:p>
    <w:p w14:paraId="5FEC6809" w14:textId="62101E6D" w:rsidR="00DC32DF" w:rsidRPr="00097066" w:rsidRDefault="00DC32DF" w:rsidP="007E3264">
      <w:pPr>
        <w:pStyle w:val="ListParagraph"/>
        <w:numPr>
          <w:ilvl w:val="0"/>
          <w:numId w:val="4"/>
        </w:numPr>
        <w:ind w:left="284" w:hanging="284"/>
        <w:rPr>
          <w:sz w:val="24"/>
          <w:szCs w:val="24"/>
          <w:lang w:val="id"/>
        </w:rPr>
      </w:pPr>
      <w:r w:rsidRPr="00097066">
        <w:rPr>
          <w:sz w:val="24"/>
          <w:szCs w:val="24"/>
          <w:lang w:val="id"/>
        </w:rPr>
        <w:t xml:space="preserve">Konstanta </w:t>
      </w:r>
      <w:r w:rsidRPr="00097066">
        <w:rPr>
          <w:sz w:val="24"/>
          <w:szCs w:val="24"/>
        </w:rPr>
        <w:t xml:space="preserve">sebesar </w:t>
      </w:r>
      <w:r w:rsidRPr="00097066">
        <w:rPr>
          <w:sz w:val="24"/>
          <w:szCs w:val="24"/>
          <w:lang w:val="id"/>
        </w:rPr>
        <w:t xml:space="preserve"> </w:t>
      </w:r>
      <w:r w:rsidR="0098424D" w:rsidRPr="00097066">
        <w:rPr>
          <w:sz w:val="24"/>
          <w:szCs w:val="24"/>
          <w:lang w:val="en-US"/>
        </w:rPr>
        <w:t>193,049</w:t>
      </w:r>
      <w:r w:rsidRPr="00097066">
        <w:rPr>
          <w:sz w:val="24"/>
          <w:szCs w:val="24"/>
        </w:rPr>
        <w:t xml:space="preserve">, artinya </w:t>
      </w:r>
      <w:r w:rsidR="00E7120E" w:rsidRPr="00097066">
        <w:rPr>
          <w:sz w:val="24"/>
          <w:szCs w:val="24"/>
          <w:lang w:val="en-US"/>
        </w:rPr>
        <w:t>apabila</w:t>
      </w:r>
      <w:r w:rsidRPr="00097066">
        <w:rPr>
          <w:sz w:val="24"/>
          <w:szCs w:val="24"/>
          <w:lang w:val="id"/>
        </w:rPr>
        <w:t xml:space="preserve"> variabel </w:t>
      </w:r>
      <w:r w:rsidR="006967C4" w:rsidRPr="00097066">
        <w:rPr>
          <w:i/>
          <w:sz w:val="24"/>
          <w:szCs w:val="24"/>
          <w:lang w:val="en-US"/>
        </w:rPr>
        <w:t xml:space="preserve">risk profile, good corporate governance, earning, </w:t>
      </w:r>
      <w:r w:rsidR="006967C4" w:rsidRPr="00097066">
        <w:rPr>
          <w:sz w:val="24"/>
          <w:szCs w:val="24"/>
          <w:lang w:val="en-US"/>
        </w:rPr>
        <w:t xml:space="preserve">dan </w:t>
      </w:r>
      <w:r w:rsidR="006967C4" w:rsidRPr="00097066">
        <w:rPr>
          <w:i/>
          <w:sz w:val="24"/>
          <w:szCs w:val="24"/>
          <w:lang w:val="en-US"/>
        </w:rPr>
        <w:t xml:space="preserve">capital </w:t>
      </w:r>
      <w:r w:rsidR="006967C4" w:rsidRPr="00097066">
        <w:rPr>
          <w:sz w:val="24"/>
          <w:szCs w:val="24"/>
          <w:lang w:val="en-US"/>
        </w:rPr>
        <w:t xml:space="preserve">= 0, maka tingkat kesehatan bank </w:t>
      </w:r>
      <w:r w:rsidRPr="00097066">
        <w:rPr>
          <w:sz w:val="24"/>
          <w:szCs w:val="24"/>
          <w:lang w:val="id"/>
        </w:rPr>
        <w:t xml:space="preserve">menjadi </w:t>
      </w:r>
      <w:r w:rsidR="0098424D" w:rsidRPr="00097066">
        <w:rPr>
          <w:sz w:val="24"/>
          <w:szCs w:val="24"/>
          <w:lang w:val="en-US"/>
        </w:rPr>
        <w:t>193,049</w:t>
      </w:r>
      <w:r w:rsidRPr="00097066">
        <w:rPr>
          <w:sz w:val="24"/>
          <w:szCs w:val="24"/>
          <w:lang w:val="id"/>
        </w:rPr>
        <w:t>.</w:t>
      </w:r>
    </w:p>
    <w:p w14:paraId="5F1C8B68" w14:textId="54859C57" w:rsidR="006967C4" w:rsidRPr="00097066" w:rsidRDefault="006967C4" w:rsidP="007E3264">
      <w:pPr>
        <w:pStyle w:val="ListParagraph"/>
        <w:numPr>
          <w:ilvl w:val="0"/>
          <w:numId w:val="4"/>
        </w:numPr>
        <w:ind w:left="284" w:hanging="284"/>
        <w:rPr>
          <w:sz w:val="24"/>
          <w:szCs w:val="24"/>
          <w:lang w:val="id"/>
        </w:rPr>
      </w:pPr>
      <w:bookmarkStart w:id="7" w:name="_Hlk147176147"/>
      <w:r w:rsidRPr="00097066">
        <w:rPr>
          <w:sz w:val="24"/>
          <w:szCs w:val="24"/>
          <w:lang w:val="id"/>
        </w:rPr>
        <w:t xml:space="preserve">β1 (koefisien regresi X1) sebesar – 16,202 artinya </w:t>
      </w:r>
      <w:r w:rsidR="00E7120E" w:rsidRPr="00097066">
        <w:rPr>
          <w:sz w:val="24"/>
          <w:szCs w:val="24"/>
          <w:lang w:val="en-US"/>
        </w:rPr>
        <w:t>apabila</w:t>
      </w:r>
      <w:r w:rsidR="00E7120E" w:rsidRPr="00097066">
        <w:rPr>
          <w:i/>
          <w:iCs/>
          <w:sz w:val="24"/>
          <w:szCs w:val="24"/>
          <w:lang w:val="id"/>
        </w:rPr>
        <w:t xml:space="preserve"> </w:t>
      </w:r>
      <w:r w:rsidRPr="00097066">
        <w:rPr>
          <w:i/>
          <w:iCs/>
          <w:sz w:val="24"/>
          <w:szCs w:val="24"/>
          <w:lang w:val="id"/>
        </w:rPr>
        <w:t>risk profile</w:t>
      </w:r>
      <w:r w:rsidRPr="00097066">
        <w:rPr>
          <w:sz w:val="24"/>
          <w:szCs w:val="24"/>
          <w:lang w:val="id"/>
        </w:rPr>
        <w:t xml:space="preserve"> mengalami peningkatan  1% maka tingkat kesehatan bank akan berkurang sebesar 16,202 atau 16,2% dengan asumsi bahwa variabel bebas yang lain dari model regresi adalah tetap.</w:t>
      </w:r>
    </w:p>
    <w:p w14:paraId="651D0BB1" w14:textId="1BD17FBA" w:rsidR="006967C4" w:rsidRPr="00097066" w:rsidRDefault="006967C4" w:rsidP="007E3264">
      <w:pPr>
        <w:pStyle w:val="ListParagraph"/>
        <w:numPr>
          <w:ilvl w:val="0"/>
          <w:numId w:val="4"/>
        </w:numPr>
        <w:ind w:left="284" w:hanging="284"/>
        <w:rPr>
          <w:sz w:val="24"/>
          <w:szCs w:val="24"/>
          <w:lang w:val="id"/>
        </w:rPr>
      </w:pPr>
      <w:r w:rsidRPr="00097066">
        <w:rPr>
          <w:sz w:val="24"/>
          <w:szCs w:val="24"/>
          <w:lang w:val="id"/>
        </w:rPr>
        <w:t xml:space="preserve">β2 (koefisien regresi X2) sebesar – 0,727 artinya </w:t>
      </w:r>
      <w:r w:rsidR="00E7120E" w:rsidRPr="00097066">
        <w:rPr>
          <w:sz w:val="24"/>
          <w:szCs w:val="24"/>
          <w:lang w:val="en-US"/>
        </w:rPr>
        <w:t>apabila</w:t>
      </w:r>
      <w:r w:rsidR="00E7120E" w:rsidRPr="00097066">
        <w:rPr>
          <w:i/>
          <w:iCs/>
          <w:sz w:val="24"/>
          <w:szCs w:val="24"/>
          <w:lang w:val="id"/>
        </w:rPr>
        <w:t xml:space="preserve"> </w:t>
      </w:r>
      <w:r w:rsidRPr="00097066">
        <w:rPr>
          <w:i/>
          <w:iCs/>
          <w:sz w:val="24"/>
          <w:szCs w:val="24"/>
          <w:lang w:val="id"/>
        </w:rPr>
        <w:t>good corporate governance</w:t>
      </w:r>
      <w:r w:rsidRPr="00097066">
        <w:rPr>
          <w:sz w:val="24"/>
          <w:szCs w:val="24"/>
          <w:lang w:val="id"/>
        </w:rPr>
        <w:t xml:space="preserve"> mengalami peningkatan  1% maka tingkat kesehatan bank akan berkurang sebesar 0,727 atau 72,7% dengan asumsi bahwa variabel bebas yang lain dari model regresi adalah tetap.</w:t>
      </w:r>
    </w:p>
    <w:p w14:paraId="26566942" w14:textId="59885CB9" w:rsidR="006967C4" w:rsidRPr="00097066" w:rsidRDefault="006967C4" w:rsidP="007E3264">
      <w:pPr>
        <w:pStyle w:val="ListParagraph"/>
        <w:numPr>
          <w:ilvl w:val="0"/>
          <w:numId w:val="4"/>
        </w:numPr>
        <w:ind w:left="284" w:hanging="284"/>
        <w:rPr>
          <w:sz w:val="24"/>
          <w:szCs w:val="24"/>
          <w:lang w:val="id"/>
        </w:rPr>
      </w:pPr>
      <w:r w:rsidRPr="00097066">
        <w:rPr>
          <w:sz w:val="24"/>
          <w:szCs w:val="24"/>
          <w:lang w:val="id"/>
        </w:rPr>
        <w:t xml:space="preserve">β3 (koefisien regresi X3) sebesar 4,332 artinya </w:t>
      </w:r>
      <w:r w:rsidR="00E7120E" w:rsidRPr="00097066">
        <w:rPr>
          <w:sz w:val="24"/>
          <w:szCs w:val="24"/>
          <w:lang w:val="en-US"/>
        </w:rPr>
        <w:t>apabila</w:t>
      </w:r>
      <w:r w:rsidR="00E7120E" w:rsidRPr="00097066">
        <w:rPr>
          <w:i/>
          <w:iCs/>
          <w:sz w:val="24"/>
          <w:szCs w:val="24"/>
          <w:lang w:val="id"/>
        </w:rPr>
        <w:t xml:space="preserve"> </w:t>
      </w:r>
      <w:r w:rsidRPr="00097066">
        <w:rPr>
          <w:i/>
          <w:iCs/>
          <w:sz w:val="24"/>
          <w:szCs w:val="24"/>
          <w:lang w:val="id"/>
        </w:rPr>
        <w:t>earning</w:t>
      </w:r>
      <w:r w:rsidRPr="00097066">
        <w:rPr>
          <w:sz w:val="24"/>
          <w:szCs w:val="24"/>
          <w:lang w:val="id"/>
        </w:rPr>
        <w:t xml:space="preserve"> mengalami peningkatan  1% maka tingkat kesehatan bank akan bertambah menjadi 4,332 atau 4,3% dengan asumsi bahwa variabel bebas yang lain dari model regresi adalah tetap.</w:t>
      </w:r>
    </w:p>
    <w:p w14:paraId="1EF93B2C" w14:textId="733D2694" w:rsidR="006967C4" w:rsidRPr="007E3264" w:rsidRDefault="006967C4" w:rsidP="007E3264">
      <w:pPr>
        <w:pStyle w:val="ListParagraph"/>
        <w:numPr>
          <w:ilvl w:val="0"/>
          <w:numId w:val="4"/>
        </w:numPr>
        <w:ind w:left="284" w:hanging="284"/>
        <w:rPr>
          <w:sz w:val="24"/>
          <w:szCs w:val="24"/>
          <w:lang w:val="el-GR"/>
        </w:rPr>
      </w:pPr>
      <w:r w:rsidRPr="00097066">
        <w:rPr>
          <w:sz w:val="24"/>
          <w:szCs w:val="24"/>
          <w:lang w:val="id"/>
        </w:rPr>
        <w:t xml:space="preserve">β4 (koefisien regresi X4) sebesar – 1,608 artinya </w:t>
      </w:r>
      <w:r w:rsidR="00E7120E" w:rsidRPr="00097066">
        <w:rPr>
          <w:sz w:val="24"/>
          <w:szCs w:val="24"/>
          <w:lang w:val="en-US"/>
        </w:rPr>
        <w:t>apabila</w:t>
      </w:r>
      <w:r w:rsidR="00E7120E" w:rsidRPr="00097066">
        <w:rPr>
          <w:i/>
          <w:iCs/>
          <w:sz w:val="24"/>
          <w:szCs w:val="24"/>
          <w:lang w:val="id"/>
        </w:rPr>
        <w:t xml:space="preserve"> </w:t>
      </w:r>
      <w:r w:rsidRPr="00097066">
        <w:rPr>
          <w:i/>
          <w:iCs/>
          <w:sz w:val="24"/>
          <w:szCs w:val="24"/>
          <w:lang w:val="id"/>
        </w:rPr>
        <w:t>capital</w:t>
      </w:r>
      <w:r w:rsidRPr="00097066">
        <w:rPr>
          <w:sz w:val="24"/>
          <w:szCs w:val="24"/>
          <w:lang w:val="id"/>
        </w:rPr>
        <w:t xml:space="preserve"> mengalami peningkatan  1% maka tingkat kesehatan bank akan berkurang menjadi 1,608 atau 1,6% dengan asumsi bahwa variabel bebas yang lain dari model regresi adalah tetap</w:t>
      </w:r>
      <w:bookmarkEnd w:id="7"/>
      <w:r w:rsidRPr="00097066">
        <w:rPr>
          <w:sz w:val="24"/>
          <w:szCs w:val="24"/>
          <w:lang w:val="id"/>
        </w:rPr>
        <w:t>.</w:t>
      </w:r>
    </w:p>
    <w:p w14:paraId="5C93BBEC" w14:textId="78A6FDF4" w:rsidR="00DC32DF" w:rsidRPr="00097066" w:rsidRDefault="00DC32DF" w:rsidP="007E3264">
      <w:pPr>
        <w:pStyle w:val="ListParagraph"/>
        <w:ind w:left="0" w:firstLine="0"/>
        <w:rPr>
          <w:b/>
          <w:sz w:val="24"/>
          <w:szCs w:val="24"/>
        </w:rPr>
      </w:pPr>
      <w:r w:rsidRPr="00097066">
        <w:rPr>
          <w:b/>
          <w:sz w:val="24"/>
          <w:szCs w:val="24"/>
        </w:rPr>
        <w:t xml:space="preserve">Uji </w:t>
      </w:r>
      <w:r w:rsidRPr="00097066">
        <w:rPr>
          <w:b/>
          <w:sz w:val="24"/>
          <w:szCs w:val="24"/>
          <w:lang w:val="id"/>
        </w:rPr>
        <w:t>Hipotesis</w:t>
      </w:r>
    </w:p>
    <w:p w14:paraId="2A9D2B25" w14:textId="77777777" w:rsidR="00DC32DF" w:rsidRPr="00097066" w:rsidRDefault="00DC32DF" w:rsidP="007E3264">
      <w:pPr>
        <w:pStyle w:val="ListParagraph"/>
        <w:ind w:left="0" w:firstLine="0"/>
        <w:rPr>
          <w:b/>
          <w:sz w:val="24"/>
          <w:szCs w:val="24"/>
        </w:rPr>
      </w:pPr>
      <w:r w:rsidRPr="00097066">
        <w:rPr>
          <w:b/>
          <w:sz w:val="24"/>
          <w:szCs w:val="24"/>
          <w:lang w:val="id"/>
        </w:rPr>
        <w:t>Uji Parsial (Uji t)</w:t>
      </w:r>
    </w:p>
    <w:p w14:paraId="6A8CFF2F" w14:textId="4B537930" w:rsidR="00DC32DF" w:rsidRPr="00097066" w:rsidRDefault="00DC32DF" w:rsidP="00097066">
      <w:pPr>
        <w:ind w:left="0" w:firstLine="0"/>
        <w:jc w:val="center"/>
        <w:rPr>
          <w:b/>
          <w:sz w:val="24"/>
          <w:szCs w:val="24"/>
        </w:rPr>
      </w:pPr>
      <w:r w:rsidRPr="00097066">
        <w:rPr>
          <w:b/>
          <w:sz w:val="24"/>
          <w:szCs w:val="24"/>
        </w:rPr>
        <w:t xml:space="preserve">Tabel </w:t>
      </w:r>
      <w:r w:rsidR="006967C4" w:rsidRPr="00097066">
        <w:rPr>
          <w:b/>
          <w:sz w:val="24"/>
          <w:szCs w:val="24"/>
        </w:rPr>
        <w:t>5</w:t>
      </w:r>
      <w:r w:rsidRPr="00097066">
        <w:rPr>
          <w:b/>
          <w:sz w:val="24"/>
          <w:szCs w:val="24"/>
        </w:rPr>
        <w:t xml:space="preserve"> Hasil </w:t>
      </w:r>
      <w:r w:rsidRPr="00097066">
        <w:rPr>
          <w:b/>
          <w:sz w:val="24"/>
          <w:szCs w:val="24"/>
          <w:lang w:val="id"/>
        </w:rPr>
        <w:t xml:space="preserve">Uji </w:t>
      </w:r>
      <w:r w:rsidRPr="00097066">
        <w:rPr>
          <w:b/>
          <w:sz w:val="24"/>
          <w:szCs w:val="24"/>
        </w:rPr>
        <w:t>t</w:t>
      </w:r>
    </w:p>
    <w:tbl>
      <w:tblPr>
        <w:tblStyle w:val="TableGrid"/>
        <w:tblW w:w="7710" w:type="dxa"/>
        <w:jc w:val="center"/>
        <w:tblLayout w:type="fixed"/>
        <w:tblLook w:val="0000" w:firstRow="0" w:lastRow="0" w:firstColumn="0" w:lastColumn="0" w:noHBand="0" w:noVBand="0"/>
      </w:tblPr>
      <w:tblGrid>
        <w:gridCol w:w="392"/>
        <w:gridCol w:w="2782"/>
        <w:gridCol w:w="1984"/>
        <w:gridCol w:w="1418"/>
        <w:gridCol w:w="1134"/>
      </w:tblGrid>
      <w:tr w:rsidR="006967C4" w:rsidRPr="00097066" w14:paraId="072AF4BF" w14:textId="77777777" w:rsidTr="007E3264">
        <w:trPr>
          <w:jc w:val="center"/>
        </w:trPr>
        <w:tc>
          <w:tcPr>
            <w:tcW w:w="7710" w:type="dxa"/>
            <w:gridSpan w:val="5"/>
          </w:tcPr>
          <w:p w14:paraId="626992A0" w14:textId="77777777" w:rsidR="006967C4" w:rsidRPr="00097066" w:rsidRDefault="006967C4" w:rsidP="00097066">
            <w:pPr>
              <w:autoSpaceDE w:val="0"/>
              <w:autoSpaceDN w:val="0"/>
              <w:adjustRightInd w:val="0"/>
              <w:ind w:left="0" w:firstLine="0"/>
              <w:jc w:val="center"/>
              <w:rPr>
                <w:rFonts w:eastAsia="Calibri"/>
                <w:color w:val="010205"/>
                <w:sz w:val="24"/>
                <w:szCs w:val="24"/>
                <w:lang w:eastAsia="en-US"/>
              </w:rPr>
            </w:pPr>
            <w:r w:rsidRPr="00097066">
              <w:rPr>
                <w:rFonts w:eastAsia="Calibri"/>
                <w:b/>
                <w:bCs/>
                <w:color w:val="010205"/>
                <w:sz w:val="24"/>
                <w:szCs w:val="24"/>
                <w:lang w:eastAsia="en-US"/>
              </w:rPr>
              <w:t>Coefficients</w:t>
            </w:r>
            <w:r w:rsidRPr="00097066">
              <w:rPr>
                <w:rFonts w:eastAsia="Calibri"/>
                <w:b/>
                <w:bCs/>
                <w:color w:val="010205"/>
                <w:sz w:val="24"/>
                <w:szCs w:val="24"/>
                <w:vertAlign w:val="superscript"/>
                <w:lang w:eastAsia="en-US"/>
              </w:rPr>
              <w:t>a</w:t>
            </w:r>
          </w:p>
        </w:tc>
      </w:tr>
      <w:tr w:rsidR="006967C4" w:rsidRPr="00097066" w14:paraId="095E4A3C" w14:textId="77777777" w:rsidTr="007E3264">
        <w:trPr>
          <w:jc w:val="center"/>
        </w:trPr>
        <w:tc>
          <w:tcPr>
            <w:tcW w:w="3174" w:type="dxa"/>
            <w:gridSpan w:val="2"/>
            <w:vMerge w:val="restart"/>
          </w:tcPr>
          <w:p w14:paraId="15FBF717" w14:textId="77777777" w:rsidR="006967C4" w:rsidRPr="00097066" w:rsidRDefault="006967C4" w:rsidP="007E3264">
            <w:pPr>
              <w:autoSpaceDE w:val="0"/>
              <w:autoSpaceDN w:val="0"/>
              <w:adjustRightInd w:val="0"/>
              <w:ind w:left="0" w:firstLine="0"/>
              <w:jc w:val="center"/>
              <w:rPr>
                <w:rFonts w:eastAsia="Calibri"/>
                <w:sz w:val="24"/>
                <w:szCs w:val="24"/>
                <w:lang w:eastAsia="en-US"/>
              </w:rPr>
            </w:pPr>
            <w:r w:rsidRPr="00097066">
              <w:rPr>
                <w:rFonts w:eastAsia="Calibri"/>
                <w:sz w:val="24"/>
                <w:szCs w:val="24"/>
                <w:lang w:eastAsia="en-US"/>
              </w:rPr>
              <w:t>Model</w:t>
            </w:r>
          </w:p>
        </w:tc>
        <w:tc>
          <w:tcPr>
            <w:tcW w:w="1984" w:type="dxa"/>
          </w:tcPr>
          <w:p w14:paraId="7E42ED91" w14:textId="77777777" w:rsidR="006967C4" w:rsidRPr="00097066" w:rsidRDefault="006967C4" w:rsidP="007E3264">
            <w:pPr>
              <w:autoSpaceDE w:val="0"/>
              <w:autoSpaceDN w:val="0"/>
              <w:adjustRightInd w:val="0"/>
              <w:ind w:left="0" w:firstLine="0"/>
              <w:jc w:val="center"/>
              <w:rPr>
                <w:rFonts w:eastAsia="Calibri"/>
                <w:sz w:val="24"/>
                <w:szCs w:val="24"/>
                <w:lang w:eastAsia="en-US"/>
              </w:rPr>
            </w:pPr>
            <w:r w:rsidRPr="00097066">
              <w:rPr>
                <w:rFonts w:eastAsia="Calibri"/>
                <w:sz w:val="24"/>
                <w:szCs w:val="24"/>
                <w:lang w:eastAsia="en-US"/>
              </w:rPr>
              <w:t>Unstandardized Coefficients</w:t>
            </w:r>
          </w:p>
        </w:tc>
        <w:tc>
          <w:tcPr>
            <w:tcW w:w="1418" w:type="dxa"/>
          </w:tcPr>
          <w:p w14:paraId="68A0C710" w14:textId="77777777" w:rsidR="006967C4" w:rsidRPr="00097066" w:rsidRDefault="006967C4" w:rsidP="007E3264">
            <w:pPr>
              <w:autoSpaceDE w:val="0"/>
              <w:autoSpaceDN w:val="0"/>
              <w:adjustRightInd w:val="0"/>
              <w:ind w:left="0" w:firstLine="0"/>
              <w:jc w:val="center"/>
              <w:rPr>
                <w:rFonts w:eastAsia="Calibri"/>
                <w:sz w:val="24"/>
                <w:szCs w:val="24"/>
                <w:lang w:eastAsia="en-US"/>
              </w:rPr>
            </w:pPr>
            <w:r w:rsidRPr="00097066">
              <w:rPr>
                <w:rFonts w:eastAsia="Calibri"/>
                <w:sz w:val="24"/>
                <w:szCs w:val="24"/>
                <w:lang w:eastAsia="en-US"/>
              </w:rPr>
              <w:t>t</w:t>
            </w:r>
          </w:p>
        </w:tc>
        <w:tc>
          <w:tcPr>
            <w:tcW w:w="1134" w:type="dxa"/>
          </w:tcPr>
          <w:p w14:paraId="7B01A686" w14:textId="77777777" w:rsidR="006967C4" w:rsidRPr="00097066" w:rsidRDefault="006967C4" w:rsidP="007E3264">
            <w:pPr>
              <w:autoSpaceDE w:val="0"/>
              <w:autoSpaceDN w:val="0"/>
              <w:adjustRightInd w:val="0"/>
              <w:ind w:left="0" w:firstLine="0"/>
              <w:jc w:val="center"/>
              <w:rPr>
                <w:rFonts w:eastAsia="Calibri"/>
                <w:sz w:val="24"/>
                <w:szCs w:val="24"/>
                <w:lang w:eastAsia="en-US"/>
              </w:rPr>
            </w:pPr>
            <w:r w:rsidRPr="00097066">
              <w:rPr>
                <w:rFonts w:eastAsia="Calibri"/>
                <w:sz w:val="24"/>
                <w:szCs w:val="24"/>
                <w:lang w:eastAsia="en-US"/>
              </w:rPr>
              <w:t>Sig.</w:t>
            </w:r>
          </w:p>
        </w:tc>
      </w:tr>
      <w:tr w:rsidR="006967C4" w:rsidRPr="00097066" w14:paraId="7584F709" w14:textId="77777777" w:rsidTr="007E3264">
        <w:trPr>
          <w:jc w:val="center"/>
        </w:trPr>
        <w:tc>
          <w:tcPr>
            <w:tcW w:w="3174" w:type="dxa"/>
            <w:gridSpan w:val="2"/>
            <w:vMerge/>
          </w:tcPr>
          <w:p w14:paraId="0152947A" w14:textId="77777777" w:rsidR="006967C4" w:rsidRPr="00097066" w:rsidRDefault="006967C4" w:rsidP="007E3264">
            <w:pPr>
              <w:autoSpaceDE w:val="0"/>
              <w:autoSpaceDN w:val="0"/>
              <w:adjustRightInd w:val="0"/>
              <w:ind w:left="0" w:firstLine="0"/>
              <w:jc w:val="center"/>
              <w:rPr>
                <w:rFonts w:eastAsia="Calibri"/>
                <w:sz w:val="24"/>
                <w:szCs w:val="24"/>
                <w:lang w:eastAsia="en-US"/>
              </w:rPr>
            </w:pPr>
          </w:p>
        </w:tc>
        <w:tc>
          <w:tcPr>
            <w:tcW w:w="1984" w:type="dxa"/>
          </w:tcPr>
          <w:p w14:paraId="5816B408" w14:textId="77777777" w:rsidR="006967C4" w:rsidRPr="00097066" w:rsidRDefault="006967C4" w:rsidP="007E3264">
            <w:pPr>
              <w:autoSpaceDE w:val="0"/>
              <w:autoSpaceDN w:val="0"/>
              <w:adjustRightInd w:val="0"/>
              <w:ind w:left="0" w:firstLine="0"/>
              <w:jc w:val="center"/>
              <w:rPr>
                <w:rFonts w:eastAsia="Calibri"/>
                <w:sz w:val="24"/>
                <w:szCs w:val="24"/>
                <w:lang w:eastAsia="en-US"/>
              </w:rPr>
            </w:pPr>
            <w:r w:rsidRPr="00097066">
              <w:rPr>
                <w:rFonts w:eastAsia="Calibri"/>
                <w:sz w:val="24"/>
                <w:szCs w:val="24"/>
                <w:lang w:eastAsia="en-US"/>
              </w:rPr>
              <w:t>B</w:t>
            </w:r>
          </w:p>
        </w:tc>
        <w:tc>
          <w:tcPr>
            <w:tcW w:w="1418" w:type="dxa"/>
          </w:tcPr>
          <w:p w14:paraId="7A057B15" w14:textId="77777777" w:rsidR="006967C4" w:rsidRPr="00097066" w:rsidRDefault="006967C4" w:rsidP="007E3264">
            <w:pPr>
              <w:autoSpaceDE w:val="0"/>
              <w:autoSpaceDN w:val="0"/>
              <w:adjustRightInd w:val="0"/>
              <w:ind w:left="0" w:firstLine="0"/>
              <w:jc w:val="center"/>
              <w:rPr>
                <w:rFonts w:eastAsia="Calibri"/>
                <w:sz w:val="24"/>
                <w:szCs w:val="24"/>
                <w:lang w:eastAsia="en-US"/>
              </w:rPr>
            </w:pPr>
          </w:p>
        </w:tc>
        <w:tc>
          <w:tcPr>
            <w:tcW w:w="1134" w:type="dxa"/>
          </w:tcPr>
          <w:p w14:paraId="3F4FDAAD" w14:textId="77777777" w:rsidR="006967C4" w:rsidRPr="00097066" w:rsidRDefault="006967C4" w:rsidP="007E3264">
            <w:pPr>
              <w:autoSpaceDE w:val="0"/>
              <w:autoSpaceDN w:val="0"/>
              <w:adjustRightInd w:val="0"/>
              <w:ind w:left="0" w:firstLine="0"/>
              <w:jc w:val="center"/>
              <w:rPr>
                <w:rFonts w:eastAsia="Calibri"/>
                <w:sz w:val="24"/>
                <w:szCs w:val="24"/>
                <w:lang w:eastAsia="en-US"/>
              </w:rPr>
            </w:pPr>
          </w:p>
        </w:tc>
      </w:tr>
      <w:tr w:rsidR="006967C4" w:rsidRPr="00097066" w14:paraId="0F88ADFC" w14:textId="77777777" w:rsidTr="007E3264">
        <w:trPr>
          <w:jc w:val="center"/>
        </w:trPr>
        <w:tc>
          <w:tcPr>
            <w:tcW w:w="392" w:type="dxa"/>
            <w:vMerge w:val="restart"/>
          </w:tcPr>
          <w:p w14:paraId="09060C75" w14:textId="77777777" w:rsidR="006967C4" w:rsidRPr="00097066" w:rsidRDefault="006967C4" w:rsidP="007E3264">
            <w:pPr>
              <w:autoSpaceDE w:val="0"/>
              <w:autoSpaceDN w:val="0"/>
              <w:adjustRightInd w:val="0"/>
              <w:ind w:left="0" w:firstLine="0"/>
              <w:jc w:val="center"/>
              <w:rPr>
                <w:rFonts w:eastAsia="Calibri"/>
                <w:color w:val="264A60"/>
                <w:sz w:val="24"/>
                <w:szCs w:val="24"/>
                <w:lang w:eastAsia="en-US"/>
              </w:rPr>
            </w:pPr>
            <w:r w:rsidRPr="00097066">
              <w:rPr>
                <w:rFonts w:eastAsia="Calibri"/>
                <w:color w:val="264A60"/>
                <w:sz w:val="24"/>
                <w:szCs w:val="24"/>
                <w:lang w:eastAsia="en-US"/>
              </w:rPr>
              <w:t>1</w:t>
            </w:r>
          </w:p>
        </w:tc>
        <w:tc>
          <w:tcPr>
            <w:tcW w:w="2782" w:type="dxa"/>
          </w:tcPr>
          <w:p w14:paraId="4818A577" w14:textId="77777777" w:rsidR="006967C4" w:rsidRPr="00097066" w:rsidRDefault="006967C4" w:rsidP="007E3264">
            <w:pPr>
              <w:autoSpaceDE w:val="0"/>
              <w:autoSpaceDN w:val="0"/>
              <w:adjustRightInd w:val="0"/>
              <w:ind w:left="0" w:firstLine="0"/>
              <w:jc w:val="center"/>
              <w:rPr>
                <w:rFonts w:eastAsia="Calibri"/>
                <w:sz w:val="24"/>
                <w:szCs w:val="24"/>
                <w:lang w:eastAsia="en-US"/>
              </w:rPr>
            </w:pPr>
          </w:p>
        </w:tc>
        <w:tc>
          <w:tcPr>
            <w:tcW w:w="1984" w:type="dxa"/>
          </w:tcPr>
          <w:p w14:paraId="7490B293" w14:textId="77777777" w:rsidR="006967C4" w:rsidRPr="00097066" w:rsidRDefault="006967C4" w:rsidP="007E3264">
            <w:pPr>
              <w:autoSpaceDE w:val="0"/>
              <w:autoSpaceDN w:val="0"/>
              <w:adjustRightInd w:val="0"/>
              <w:ind w:left="0" w:firstLine="0"/>
              <w:jc w:val="center"/>
              <w:rPr>
                <w:rFonts w:eastAsia="Calibri"/>
                <w:sz w:val="24"/>
                <w:szCs w:val="24"/>
                <w:lang w:eastAsia="en-US"/>
              </w:rPr>
            </w:pPr>
          </w:p>
        </w:tc>
        <w:tc>
          <w:tcPr>
            <w:tcW w:w="1418" w:type="dxa"/>
          </w:tcPr>
          <w:p w14:paraId="6E1FA444" w14:textId="77777777" w:rsidR="006967C4" w:rsidRPr="00097066" w:rsidRDefault="006967C4" w:rsidP="007E3264">
            <w:pPr>
              <w:autoSpaceDE w:val="0"/>
              <w:autoSpaceDN w:val="0"/>
              <w:adjustRightInd w:val="0"/>
              <w:ind w:left="0" w:firstLine="0"/>
              <w:jc w:val="center"/>
              <w:rPr>
                <w:rFonts w:eastAsia="Calibri"/>
                <w:sz w:val="24"/>
                <w:szCs w:val="24"/>
                <w:lang w:eastAsia="en-US"/>
              </w:rPr>
            </w:pPr>
          </w:p>
        </w:tc>
        <w:tc>
          <w:tcPr>
            <w:tcW w:w="1134" w:type="dxa"/>
          </w:tcPr>
          <w:p w14:paraId="4EEDB013" w14:textId="77777777" w:rsidR="006967C4" w:rsidRPr="00097066" w:rsidRDefault="006967C4" w:rsidP="007E3264">
            <w:pPr>
              <w:autoSpaceDE w:val="0"/>
              <w:autoSpaceDN w:val="0"/>
              <w:adjustRightInd w:val="0"/>
              <w:ind w:left="0" w:firstLine="0"/>
              <w:jc w:val="center"/>
              <w:rPr>
                <w:rFonts w:eastAsia="Calibri"/>
                <w:sz w:val="24"/>
                <w:szCs w:val="24"/>
                <w:lang w:eastAsia="en-US"/>
              </w:rPr>
            </w:pPr>
          </w:p>
        </w:tc>
      </w:tr>
      <w:tr w:rsidR="006967C4" w:rsidRPr="00097066" w14:paraId="4743E3F8" w14:textId="77777777" w:rsidTr="007E3264">
        <w:trPr>
          <w:jc w:val="center"/>
        </w:trPr>
        <w:tc>
          <w:tcPr>
            <w:tcW w:w="392" w:type="dxa"/>
            <w:vMerge/>
          </w:tcPr>
          <w:p w14:paraId="0987514D" w14:textId="77777777" w:rsidR="006967C4" w:rsidRPr="00097066" w:rsidRDefault="006967C4" w:rsidP="007E3264">
            <w:pPr>
              <w:autoSpaceDE w:val="0"/>
              <w:autoSpaceDN w:val="0"/>
              <w:adjustRightInd w:val="0"/>
              <w:ind w:left="0" w:firstLine="0"/>
              <w:jc w:val="center"/>
              <w:rPr>
                <w:rFonts w:eastAsia="Calibri"/>
                <w:color w:val="264A60"/>
                <w:sz w:val="24"/>
                <w:szCs w:val="24"/>
                <w:lang w:eastAsia="en-US"/>
              </w:rPr>
            </w:pPr>
          </w:p>
        </w:tc>
        <w:tc>
          <w:tcPr>
            <w:tcW w:w="2782" w:type="dxa"/>
          </w:tcPr>
          <w:p w14:paraId="2746A5A8" w14:textId="33D4BB83" w:rsidR="006967C4" w:rsidRPr="00097066" w:rsidRDefault="007E3264" w:rsidP="007E3264">
            <w:pPr>
              <w:autoSpaceDE w:val="0"/>
              <w:autoSpaceDN w:val="0"/>
              <w:adjustRightInd w:val="0"/>
              <w:ind w:left="0" w:firstLine="0"/>
              <w:jc w:val="center"/>
              <w:rPr>
                <w:rFonts w:eastAsia="Calibri"/>
                <w:sz w:val="24"/>
                <w:szCs w:val="24"/>
                <w:lang w:eastAsia="en-US"/>
              </w:rPr>
            </w:pPr>
            <w:r w:rsidRPr="00097066">
              <w:rPr>
                <w:rFonts w:eastAsia="Calibri"/>
                <w:sz w:val="24"/>
                <w:szCs w:val="24"/>
                <w:lang w:eastAsia="en-US"/>
              </w:rPr>
              <w:t>Komisaris Independen</w:t>
            </w:r>
          </w:p>
        </w:tc>
        <w:tc>
          <w:tcPr>
            <w:tcW w:w="1984" w:type="dxa"/>
          </w:tcPr>
          <w:p w14:paraId="5C4DD7BA" w14:textId="77777777" w:rsidR="006967C4" w:rsidRPr="00097066" w:rsidRDefault="006967C4" w:rsidP="007E3264">
            <w:pPr>
              <w:autoSpaceDE w:val="0"/>
              <w:autoSpaceDN w:val="0"/>
              <w:adjustRightInd w:val="0"/>
              <w:ind w:left="0" w:firstLine="0"/>
              <w:jc w:val="center"/>
              <w:rPr>
                <w:rFonts w:eastAsia="Calibri"/>
                <w:sz w:val="24"/>
                <w:szCs w:val="24"/>
                <w:lang w:eastAsia="en-US"/>
              </w:rPr>
            </w:pPr>
            <w:r w:rsidRPr="00097066">
              <w:rPr>
                <w:rFonts w:eastAsia="Calibri"/>
                <w:sz w:val="24"/>
                <w:szCs w:val="24"/>
                <w:lang w:eastAsia="en-US"/>
              </w:rPr>
              <w:t>-,727</w:t>
            </w:r>
          </w:p>
        </w:tc>
        <w:tc>
          <w:tcPr>
            <w:tcW w:w="1418" w:type="dxa"/>
          </w:tcPr>
          <w:p w14:paraId="3159CF2A" w14:textId="77777777" w:rsidR="006967C4" w:rsidRPr="00097066" w:rsidRDefault="006967C4" w:rsidP="007E3264">
            <w:pPr>
              <w:autoSpaceDE w:val="0"/>
              <w:autoSpaceDN w:val="0"/>
              <w:adjustRightInd w:val="0"/>
              <w:ind w:left="0" w:firstLine="0"/>
              <w:jc w:val="center"/>
              <w:rPr>
                <w:rFonts w:eastAsia="Calibri"/>
                <w:sz w:val="24"/>
                <w:szCs w:val="24"/>
                <w:lang w:eastAsia="en-US"/>
              </w:rPr>
            </w:pPr>
            <w:r w:rsidRPr="00097066">
              <w:rPr>
                <w:rFonts w:eastAsia="Calibri"/>
                <w:sz w:val="24"/>
                <w:szCs w:val="24"/>
                <w:lang w:eastAsia="en-US"/>
              </w:rPr>
              <w:t>-1,697</w:t>
            </w:r>
          </w:p>
        </w:tc>
        <w:tc>
          <w:tcPr>
            <w:tcW w:w="1134" w:type="dxa"/>
          </w:tcPr>
          <w:p w14:paraId="5D6D5ADE" w14:textId="77777777" w:rsidR="006967C4" w:rsidRPr="00097066" w:rsidRDefault="006967C4" w:rsidP="007E3264">
            <w:pPr>
              <w:autoSpaceDE w:val="0"/>
              <w:autoSpaceDN w:val="0"/>
              <w:adjustRightInd w:val="0"/>
              <w:ind w:left="0" w:firstLine="0"/>
              <w:jc w:val="center"/>
              <w:rPr>
                <w:rFonts w:eastAsia="Calibri"/>
                <w:sz w:val="24"/>
                <w:szCs w:val="24"/>
                <w:lang w:eastAsia="en-US"/>
              </w:rPr>
            </w:pPr>
            <w:r w:rsidRPr="00097066">
              <w:rPr>
                <w:rFonts w:eastAsia="Calibri"/>
                <w:sz w:val="24"/>
                <w:szCs w:val="24"/>
                <w:lang w:eastAsia="en-US"/>
              </w:rPr>
              <w:t>,101</w:t>
            </w:r>
          </w:p>
        </w:tc>
      </w:tr>
      <w:tr w:rsidR="006967C4" w:rsidRPr="00097066" w14:paraId="28DC1C9D" w14:textId="77777777" w:rsidTr="007E3264">
        <w:trPr>
          <w:jc w:val="center"/>
        </w:trPr>
        <w:tc>
          <w:tcPr>
            <w:tcW w:w="392" w:type="dxa"/>
            <w:vMerge/>
          </w:tcPr>
          <w:p w14:paraId="128D7B76" w14:textId="77777777" w:rsidR="006967C4" w:rsidRPr="00097066" w:rsidRDefault="006967C4" w:rsidP="007E3264">
            <w:pPr>
              <w:autoSpaceDE w:val="0"/>
              <w:autoSpaceDN w:val="0"/>
              <w:adjustRightInd w:val="0"/>
              <w:ind w:left="0" w:firstLine="0"/>
              <w:jc w:val="center"/>
              <w:rPr>
                <w:rFonts w:eastAsia="Calibri"/>
                <w:color w:val="264A60"/>
                <w:sz w:val="24"/>
                <w:szCs w:val="24"/>
                <w:lang w:eastAsia="en-US"/>
              </w:rPr>
            </w:pPr>
          </w:p>
        </w:tc>
        <w:tc>
          <w:tcPr>
            <w:tcW w:w="2782" w:type="dxa"/>
          </w:tcPr>
          <w:p w14:paraId="58C61397" w14:textId="0B9B42A6" w:rsidR="006967C4" w:rsidRPr="00097066" w:rsidRDefault="007E3264" w:rsidP="007E3264">
            <w:pPr>
              <w:autoSpaceDE w:val="0"/>
              <w:autoSpaceDN w:val="0"/>
              <w:adjustRightInd w:val="0"/>
              <w:ind w:left="0" w:firstLine="0"/>
              <w:jc w:val="center"/>
              <w:rPr>
                <w:rFonts w:eastAsia="Calibri"/>
                <w:sz w:val="24"/>
                <w:szCs w:val="24"/>
                <w:lang w:eastAsia="en-US"/>
              </w:rPr>
            </w:pPr>
            <w:r w:rsidRPr="00097066">
              <w:rPr>
                <w:rFonts w:eastAsia="Calibri"/>
                <w:sz w:val="24"/>
                <w:szCs w:val="24"/>
                <w:lang w:eastAsia="en-US"/>
              </w:rPr>
              <w:t>Roa</w:t>
            </w:r>
          </w:p>
        </w:tc>
        <w:tc>
          <w:tcPr>
            <w:tcW w:w="1984" w:type="dxa"/>
          </w:tcPr>
          <w:p w14:paraId="41EA6AC3" w14:textId="77777777" w:rsidR="006967C4" w:rsidRPr="00097066" w:rsidRDefault="006967C4" w:rsidP="007E3264">
            <w:pPr>
              <w:autoSpaceDE w:val="0"/>
              <w:autoSpaceDN w:val="0"/>
              <w:adjustRightInd w:val="0"/>
              <w:ind w:left="0" w:firstLine="0"/>
              <w:jc w:val="center"/>
              <w:rPr>
                <w:rFonts w:eastAsia="Calibri"/>
                <w:sz w:val="24"/>
                <w:szCs w:val="24"/>
                <w:lang w:eastAsia="en-US"/>
              </w:rPr>
            </w:pPr>
            <w:r w:rsidRPr="00097066">
              <w:rPr>
                <w:rFonts w:eastAsia="Calibri"/>
                <w:sz w:val="24"/>
                <w:szCs w:val="24"/>
                <w:lang w:eastAsia="en-US"/>
              </w:rPr>
              <w:t>4,332</w:t>
            </w:r>
          </w:p>
        </w:tc>
        <w:tc>
          <w:tcPr>
            <w:tcW w:w="1418" w:type="dxa"/>
          </w:tcPr>
          <w:p w14:paraId="590E8BB0" w14:textId="77777777" w:rsidR="006967C4" w:rsidRPr="00097066" w:rsidRDefault="006967C4" w:rsidP="007E3264">
            <w:pPr>
              <w:autoSpaceDE w:val="0"/>
              <w:autoSpaceDN w:val="0"/>
              <w:adjustRightInd w:val="0"/>
              <w:ind w:left="0" w:firstLine="0"/>
              <w:jc w:val="center"/>
              <w:rPr>
                <w:rFonts w:eastAsia="Calibri"/>
                <w:sz w:val="24"/>
                <w:szCs w:val="24"/>
                <w:lang w:eastAsia="en-US"/>
              </w:rPr>
            </w:pPr>
            <w:r w:rsidRPr="00097066">
              <w:rPr>
                <w:rFonts w:eastAsia="Calibri"/>
                <w:sz w:val="24"/>
                <w:szCs w:val="24"/>
                <w:lang w:eastAsia="en-US"/>
              </w:rPr>
              <w:t>,683</w:t>
            </w:r>
          </w:p>
        </w:tc>
        <w:tc>
          <w:tcPr>
            <w:tcW w:w="1134" w:type="dxa"/>
          </w:tcPr>
          <w:p w14:paraId="1E11B867" w14:textId="77777777" w:rsidR="006967C4" w:rsidRPr="00097066" w:rsidRDefault="006967C4" w:rsidP="007E3264">
            <w:pPr>
              <w:autoSpaceDE w:val="0"/>
              <w:autoSpaceDN w:val="0"/>
              <w:adjustRightInd w:val="0"/>
              <w:ind w:left="0" w:firstLine="0"/>
              <w:jc w:val="center"/>
              <w:rPr>
                <w:rFonts w:eastAsia="Calibri"/>
                <w:sz w:val="24"/>
                <w:szCs w:val="24"/>
                <w:lang w:eastAsia="en-US"/>
              </w:rPr>
            </w:pPr>
            <w:r w:rsidRPr="00097066">
              <w:rPr>
                <w:rFonts w:eastAsia="Calibri"/>
                <w:sz w:val="24"/>
                <w:szCs w:val="24"/>
                <w:lang w:eastAsia="en-US"/>
              </w:rPr>
              <w:t>,500</w:t>
            </w:r>
          </w:p>
        </w:tc>
      </w:tr>
      <w:tr w:rsidR="006967C4" w:rsidRPr="00097066" w14:paraId="149B5E1E" w14:textId="77777777" w:rsidTr="007E3264">
        <w:trPr>
          <w:jc w:val="center"/>
        </w:trPr>
        <w:tc>
          <w:tcPr>
            <w:tcW w:w="392" w:type="dxa"/>
            <w:vMerge/>
          </w:tcPr>
          <w:p w14:paraId="1F427AAB" w14:textId="77777777" w:rsidR="006967C4" w:rsidRPr="00097066" w:rsidRDefault="006967C4" w:rsidP="007E3264">
            <w:pPr>
              <w:autoSpaceDE w:val="0"/>
              <w:autoSpaceDN w:val="0"/>
              <w:adjustRightInd w:val="0"/>
              <w:ind w:left="0" w:firstLine="0"/>
              <w:jc w:val="center"/>
              <w:rPr>
                <w:rFonts w:eastAsia="Calibri"/>
                <w:color w:val="264A60"/>
                <w:sz w:val="24"/>
                <w:szCs w:val="24"/>
                <w:lang w:eastAsia="en-US"/>
              </w:rPr>
            </w:pPr>
          </w:p>
        </w:tc>
        <w:tc>
          <w:tcPr>
            <w:tcW w:w="2782" w:type="dxa"/>
          </w:tcPr>
          <w:p w14:paraId="5468BE79" w14:textId="04FF48F1" w:rsidR="006967C4" w:rsidRPr="00097066" w:rsidRDefault="007E3264" w:rsidP="007E3264">
            <w:pPr>
              <w:autoSpaceDE w:val="0"/>
              <w:autoSpaceDN w:val="0"/>
              <w:adjustRightInd w:val="0"/>
              <w:ind w:left="0" w:firstLine="0"/>
              <w:jc w:val="center"/>
              <w:rPr>
                <w:rFonts w:eastAsia="Calibri"/>
                <w:sz w:val="24"/>
                <w:szCs w:val="24"/>
                <w:lang w:eastAsia="en-US"/>
              </w:rPr>
            </w:pPr>
            <w:r w:rsidRPr="00097066">
              <w:rPr>
                <w:rFonts w:eastAsia="Calibri"/>
                <w:sz w:val="24"/>
                <w:szCs w:val="24"/>
                <w:lang w:eastAsia="en-US"/>
              </w:rPr>
              <w:t>Capital</w:t>
            </w:r>
          </w:p>
        </w:tc>
        <w:tc>
          <w:tcPr>
            <w:tcW w:w="1984" w:type="dxa"/>
          </w:tcPr>
          <w:p w14:paraId="51600551" w14:textId="77777777" w:rsidR="006967C4" w:rsidRPr="00097066" w:rsidRDefault="006967C4" w:rsidP="007E3264">
            <w:pPr>
              <w:autoSpaceDE w:val="0"/>
              <w:autoSpaceDN w:val="0"/>
              <w:adjustRightInd w:val="0"/>
              <w:ind w:left="0" w:firstLine="0"/>
              <w:jc w:val="center"/>
              <w:rPr>
                <w:rFonts w:eastAsia="Calibri"/>
                <w:sz w:val="24"/>
                <w:szCs w:val="24"/>
                <w:lang w:eastAsia="en-US"/>
              </w:rPr>
            </w:pPr>
            <w:r w:rsidRPr="00097066">
              <w:rPr>
                <w:rFonts w:eastAsia="Calibri"/>
                <w:sz w:val="24"/>
                <w:szCs w:val="24"/>
                <w:lang w:eastAsia="en-US"/>
              </w:rPr>
              <w:t>-1,608</w:t>
            </w:r>
          </w:p>
        </w:tc>
        <w:tc>
          <w:tcPr>
            <w:tcW w:w="1418" w:type="dxa"/>
          </w:tcPr>
          <w:p w14:paraId="6BB8DAB3" w14:textId="77777777" w:rsidR="006967C4" w:rsidRPr="00097066" w:rsidRDefault="006967C4" w:rsidP="007E3264">
            <w:pPr>
              <w:autoSpaceDE w:val="0"/>
              <w:autoSpaceDN w:val="0"/>
              <w:adjustRightInd w:val="0"/>
              <w:ind w:left="0" w:firstLine="0"/>
              <w:jc w:val="center"/>
              <w:rPr>
                <w:rFonts w:eastAsia="Calibri"/>
                <w:sz w:val="24"/>
                <w:szCs w:val="24"/>
                <w:lang w:eastAsia="en-US"/>
              </w:rPr>
            </w:pPr>
            <w:r w:rsidRPr="00097066">
              <w:rPr>
                <w:rFonts w:eastAsia="Calibri"/>
                <w:sz w:val="24"/>
                <w:szCs w:val="24"/>
                <w:lang w:eastAsia="en-US"/>
              </w:rPr>
              <w:t>-1,795</w:t>
            </w:r>
          </w:p>
        </w:tc>
        <w:tc>
          <w:tcPr>
            <w:tcW w:w="1134" w:type="dxa"/>
          </w:tcPr>
          <w:p w14:paraId="2DAB02E9" w14:textId="77777777" w:rsidR="006967C4" w:rsidRPr="00097066" w:rsidRDefault="006967C4" w:rsidP="007E3264">
            <w:pPr>
              <w:autoSpaceDE w:val="0"/>
              <w:autoSpaceDN w:val="0"/>
              <w:adjustRightInd w:val="0"/>
              <w:ind w:left="0" w:firstLine="0"/>
              <w:jc w:val="center"/>
              <w:rPr>
                <w:rFonts w:eastAsia="Calibri"/>
                <w:sz w:val="24"/>
                <w:szCs w:val="24"/>
                <w:lang w:eastAsia="en-US"/>
              </w:rPr>
            </w:pPr>
            <w:r w:rsidRPr="00097066">
              <w:rPr>
                <w:rFonts w:eastAsia="Calibri"/>
                <w:sz w:val="24"/>
                <w:szCs w:val="24"/>
                <w:lang w:eastAsia="en-US"/>
              </w:rPr>
              <w:t>,084</w:t>
            </w:r>
          </w:p>
        </w:tc>
      </w:tr>
      <w:tr w:rsidR="006967C4" w:rsidRPr="00097066" w14:paraId="592EDFA1" w14:textId="77777777" w:rsidTr="007E3264">
        <w:trPr>
          <w:jc w:val="center"/>
        </w:trPr>
        <w:tc>
          <w:tcPr>
            <w:tcW w:w="392" w:type="dxa"/>
            <w:vMerge/>
          </w:tcPr>
          <w:p w14:paraId="27766497" w14:textId="77777777" w:rsidR="006967C4" w:rsidRPr="00097066" w:rsidRDefault="006967C4" w:rsidP="007E3264">
            <w:pPr>
              <w:autoSpaceDE w:val="0"/>
              <w:autoSpaceDN w:val="0"/>
              <w:adjustRightInd w:val="0"/>
              <w:ind w:left="0" w:firstLine="0"/>
              <w:jc w:val="center"/>
              <w:rPr>
                <w:rFonts w:eastAsia="Calibri"/>
                <w:color w:val="264A60"/>
                <w:sz w:val="24"/>
                <w:szCs w:val="24"/>
                <w:lang w:eastAsia="en-US"/>
              </w:rPr>
            </w:pPr>
          </w:p>
        </w:tc>
        <w:tc>
          <w:tcPr>
            <w:tcW w:w="2782" w:type="dxa"/>
          </w:tcPr>
          <w:p w14:paraId="03FDB779" w14:textId="547BF4D7" w:rsidR="006967C4" w:rsidRPr="00097066" w:rsidRDefault="007E3264" w:rsidP="007E3264">
            <w:pPr>
              <w:autoSpaceDE w:val="0"/>
              <w:autoSpaceDN w:val="0"/>
              <w:adjustRightInd w:val="0"/>
              <w:ind w:left="0" w:firstLine="0"/>
              <w:jc w:val="center"/>
              <w:rPr>
                <w:rFonts w:eastAsia="Calibri"/>
                <w:sz w:val="24"/>
                <w:szCs w:val="24"/>
                <w:lang w:eastAsia="en-US"/>
              </w:rPr>
            </w:pPr>
            <w:r w:rsidRPr="00097066">
              <w:rPr>
                <w:rFonts w:eastAsia="Calibri"/>
                <w:sz w:val="24"/>
                <w:szCs w:val="24"/>
                <w:lang w:eastAsia="en-US"/>
              </w:rPr>
              <w:t>Npl</w:t>
            </w:r>
          </w:p>
        </w:tc>
        <w:tc>
          <w:tcPr>
            <w:tcW w:w="1984" w:type="dxa"/>
          </w:tcPr>
          <w:p w14:paraId="37743C6E" w14:textId="77777777" w:rsidR="006967C4" w:rsidRPr="00097066" w:rsidRDefault="006967C4" w:rsidP="007E3264">
            <w:pPr>
              <w:autoSpaceDE w:val="0"/>
              <w:autoSpaceDN w:val="0"/>
              <w:adjustRightInd w:val="0"/>
              <w:ind w:left="0" w:firstLine="0"/>
              <w:jc w:val="center"/>
              <w:rPr>
                <w:rFonts w:eastAsia="Calibri"/>
                <w:sz w:val="24"/>
                <w:szCs w:val="24"/>
                <w:lang w:eastAsia="en-US"/>
              </w:rPr>
            </w:pPr>
            <w:r w:rsidRPr="00097066">
              <w:rPr>
                <w:rFonts w:eastAsia="Calibri"/>
                <w:sz w:val="24"/>
                <w:szCs w:val="24"/>
                <w:lang w:eastAsia="en-US"/>
              </w:rPr>
              <w:t>-16,202</w:t>
            </w:r>
          </w:p>
        </w:tc>
        <w:tc>
          <w:tcPr>
            <w:tcW w:w="1418" w:type="dxa"/>
          </w:tcPr>
          <w:p w14:paraId="013F0688" w14:textId="77777777" w:rsidR="006967C4" w:rsidRPr="00097066" w:rsidRDefault="006967C4" w:rsidP="007E3264">
            <w:pPr>
              <w:autoSpaceDE w:val="0"/>
              <w:autoSpaceDN w:val="0"/>
              <w:adjustRightInd w:val="0"/>
              <w:ind w:left="0" w:firstLine="0"/>
              <w:jc w:val="center"/>
              <w:rPr>
                <w:rFonts w:eastAsia="Calibri"/>
                <w:sz w:val="24"/>
                <w:szCs w:val="24"/>
                <w:lang w:eastAsia="en-US"/>
              </w:rPr>
            </w:pPr>
            <w:r w:rsidRPr="00097066">
              <w:rPr>
                <w:rFonts w:eastAsia="Calibri"/>
                <w:sz w:val="24"/>
                <w:szCs w:val="24"/>
                <w:lang w:eastAsia="en-US"/>
              </w:rPr>
              <w:t>-2,053</w:t>
            </w:r>
          </w:p>
        </w:tc>
        <w:tc>
          <w:tcPr>
            <w:tcW w:w="1134" w:type="dxa"/>
          </w:tcPr>
          <w:p w14:paraId="69EA3638" w14:textId="77777777" w:rsidR="006967C4" w:rsidRPr="00097066" w:rsidRDefault="006967C4" w:rsidP="007E3264">
            <w:pPr>
              <w:autoSpaceDE w:val="0"/>
              <w:autoSpaceDN w:val="0"/>
              <w:adjustRightInd w:val="0"/>
              <w:ind w:left="0" w:firstLine="0"/>
              <w:jc w:val="center"/>
              <w:rPr>
                <w:rFonts w:eastAsia="Calibri"/>
                <w:sz w:val="24"/>
                <w:szCs w:val="24"/>
                <w:lang w:eastAsia="en-US"/>
              </w:rPr>
            </w:pPr>
            <w:r w:rsidRPr="00097066">
              <w:rPr>
                <w:rFonts w:eastAsia="Calibri"/>
                <w:sz w:val="24"/>
                <w:szCs w:val="24"/>
                <w:lang w:eastAsia="en-US"/>
              </w:rPr>
              <w:t>,050</w:t>
            </w:r>
          </w:p>
        </w:tc>
      </w:tr>
    </w:tbl>
    <w:p w14:paraId="00467019" w14:textId="219BD3E6" w:rsidR="00990652" w:rsidRPr="00097066" w:rsidRDefault="00DC32DF" w:rsidP="00097066">
      <w:pPr>
        <w:ind w:left="0" w:firstLine="0"/>
        <w:jc w:val="center"/>
        <w:rPr>
          <w:sz w:val="24"/>
          <w:szCs w:val="24"/>
        </w:rPr>
      </w:pPr>
      <w:r w:rsidRPr="00097066">
        <w:rPr>
          <w:sz w:val="24"/>
          <w:szCs w:val="24"/>
          <w:lang w:val="id"/>
        </w:rPr>
        <w:t xml:space="preserve">Sumber : </w:t>
      </w:r>
      <w:r w:rsidRPr="00097066">
        <w:rPr>
          <w:i/>
          <w:sz w:val="24"/>
          <w:szCs w:val="24"/>
          <w:lang w:val="id"/>
        </w:rPr>
        <w:t>Output</w:t>
      </w:r>
      <w:r w:rsidRPr="00097066">
        <w:rPr>
          <w:sz w:val="24"/>
          <w:szCs w:val="24"/>
          <w:lang w:val="id"/>
        </w:rPr>
        <w:t xml:space="preserve"> SPSS versi 26</w:t>
      </w:r>
      <w:r w:rsidRPr="00097066">
        <w:rPr>
          <w:sz w:val="24"/>
          <w:szCs w:val="24"/>
        </w:rPr>
        <w:t>, 2023</w:t>
      </w:r>
    </w:p>
    <w:p w14:paraId="29471333" w14:textId="08241E10" w:rsidR="00DC32DF" w:rsidRPr="00097066" w:rsidRDefault="00DC32DF" w:rsidP="00097066">
      <w:pPr>
        <w:ind w:left="0" w:firstLine="709"/>
        <w:rPr>
          <w:sz w:val="24"/>
          <w:szCs w:val="24"/>
        </w:rPr>
      </w:pPr>
      <w:r w:rsidRPr="00097066">
        <w:rPr>
          <w:sz w:val="24"/>
          <w:szCs w:val="24"/>
        </w:rPr>
        <w:t xml:space="preserve">Berdasarkan tabel </w:t>
      </w:r>
      <w:r w:rsidR="006967C4" w:rsidRPr="00097066">
        <w:rPr>
          <w:sz w:val="24"/>
          <w:szCs w:val="24"/>
        </w:rPr>
        <w:t>5</w:t>
      </w:r>
      <w:r w:rsidRPr="00097066">
        <w:rPr>
          <w:sz w:val="24"/>
          <w:szCs w:val="24"/>
        </w:rPr>
        <w:t xml:space="preserve"> </w:t>
      </w:r>
      <w:r w:rsidRPr="00097066">
        <w:rPr>
          <w:sz w:val="24"/>
          <w:szCs w:val="24"/>
          <w:lang w:val="id"/>
        </w:rPr>
        <w:t>dapat dilihat uji t</w:t>
      </w:r>
      <w:r w:rsidRPr="00097066">
        <w:rPr>
          <w:sz w:val="24"/>
          <w:szCs w:val="24"/>
        </w:rPr>
        <w:t xml:space="preserve"> </w:t>
      </w:r>
      <w:r w:rsidRPr="00097066">
        <w:rPr>
          <w:sz w:val="24"/>
          <w:szCs w:val="24"/>
          <w:lang w:val="id"/>
        </w:rPr>
        <w:t>adalah sebagai berikut :</w:t>
      </w:r>
    </w:p>
    <w:p w14:paraId="63BA7636" w14:textId="77777777" w:rsidR="006967C4" w:rsidRPr="00097066" w:rsidRDefault="006967C4" w:rsidP="00097066">
      <w:pPr>
        <w:pStyle w:val="ListParagraph"/>
        <w:numPr>
          <w:ilvl w:val="0"/>
          <w:numId w:val="11"/>
        </w:numPr>
        <w:ind w:left="284" w:hanging="284"/>
        <w:rPr>
          <w:sz w:val="24"/>
          <w:szCs w:val="24"/>
          <w:lang w:val="en-US"/>
        </w:rPr>
      </w:pPr>
      <w:bookmarkStart w:id="8" w:name="_Hlk147176586"/>
      <w:r w:rsidRPr="00097066">
        <w:rPr>
          <w:i/>
          <w:sz w:val="24"/>
          <w:szCs w:val="24"/>
          <w:lang w:val="en-US"/>
        </w:rPr>
        <w:t xml:space="preserve">Risk Profile </w:t>
      </w:r>
      <w:r w:rsidRPr="00097066">
        <w:rPr>
          <w:sz w:val="24"/>
          <w:szCs w:val="24"/>
          <w:lang w:val="en-US"/>
        </w:rPr>
        <w:t>(</w:t>
      </w:r>
      <w:r w:rsidRPr="00097066">
        <w:rPr>
          <w:i/>
          <w:sz w:val="24"/>
          <w:szCs w:val="24"/>
          <w:lang w:val="en-US"/>
        </w:rPr>
        <w:t>Non Performing Loan</w:t>
      </w:r>
      <w:r w:rsidRPr="00097066">
        <w:rPr>
          <w:sz w:val="24"/>
          <w:szCs w:val="24"/>
          <w:lang w:val="en-US"/>
        </w:rPr>
        <w:t>)</w:t>
      </w:r>
    </w:p>
    <w:p w14:paraId="0C30AE66" w14:textId="6DE4205D" w:rsidR="006967C4" w:rsidRPr="00097066" w:rsidRDefault="006967C4" w:rsidP="00097066">
      <w:pPr>
        <w:ind w:left="0" w:firstLine="284"/>
        <w:rPr>
          <w:sz w:val="24"/>
          <w:szCs w:val="24"/>
          <w:lang w:val="en-US"/>
        </w:rPr>
      </w:pPr>
      <w:r w:rsidRPr="00097066">
        <w:rPr>
          <w:sz w:val="24"/>
          <w:szCs w:val="24"/>
          <w:lang w:val="en-US"/>
        </w:rPr>
        <w:t>Berdasarkan hasil t</w:t>
      </w:r>
      <w:r w:rsidRPr="00097066">
        <w:rPr>
          <w:sz w:val="24"/>
          <w:szCs w:val="24"/>
          <w:vertAlign w:val="subscript"/>
          <w:lang w:val="en-US"/>
        </w:rPr>
        <w:t xml:space="preserve">hitung </w:t>
      </w:r>
      <w:r w:rsidRPr="00097066">
        <w:rPr>
          <w:sz w:val="24"/>
          <w:szCs w:val="24"/>
          <w:lang w:val="en-US"/>
        </w:rPr>
        <w:t>= -2,053 dan t</w:t>
      </w:r>
      <w:r w:rsidRPr="00097066">
        <w:rPr>
          <w:sz w:val="24"/>
          <w:szCs w:val="24"/>
          <w:vertAlign w:val="subscript"/>
          <w:lang w:val="en-US"/>
        </w:rPr>
        <w:t>tabel</w:t>
      </w:r>
      <w:r w:rsidRPr="00097066">
        <w:rPr>
          <w:sz w:val="24"/>
          <w:szCs w:val="24"/>
          <w:lang w:val="en-US"/>
        </w:rPr>
        <w:t xml:space="preserve"> = DF = N-K-1 (33-4-1=28) dengan taraf signifikan 0,05 hasil dari t</w:t>
      </w:r>
      <w:r w:rsidRPr="00097066">
        <w:rPr>
          <w:sz w:val="24"/>
          <w:szCs w:val="24"/>
          <w:vertAlign w:val="subscript"/>
          <w:lang w:val="en-US"/>
        </w:rPr>
        <w:t>tabel</w:t>
      </w:r>
      <w:r w:rsidRPr="00097066">
        <w:rPr>
          <w:sz w:val="24"/>
          <w:szCs w:val="24"/>
          <w:lang w:val="en-US"/>
        </w:rPr>
        <w:t xml:space="preserve"> adalah 1,895 maka hasil t</w:t>
      </w:r>
      <w:r w:rsidRPr="00097066">
        <w:rPr>
          <w:sz w:val="24"/>
          <w:szCs w:val="24"/>
          <w:vertAlign w:val="subscript"/>
          <w:lang w:val="en-US"/>
        </w:rPr>
        <w:t>hitung</w:t>
      </w:r>
      <w:r w:rsidRPr="00097066">
        <w:rPr>
          <w:sz w:val="24"/>
          <w:szCs w:val="24"/>
          <w:lang w:val="en-US"/>
        </w:rPr>
        <w:t xml:space="preserve"> lebih kecil dari t</w:t>
      </w:r>
      <w:r w:rsidRPr="00097066">
        <w:rPr>
          <w:sz w:val="24"/>
          <w:szCs w:val="24"/>
          <w:vertAlign w:val="subscript"/>
          <w:lang w:val="en-US"/>
        </w:rPr>
        <w:t xml:space="preserve">tabel </w:t>
      </w:r>
      <w:r w:rsidRPr="00097066">
        <w:rPr>
          <w:sz w:val="24"/>
          <w:szCs w:val="24"/>
          <w:lang w:val="en-US"/>
        </w:rPr>
        <w:t>(-2,053&lt;1,895). Nilai signifikan menunjukkan sama dengan 0,05 yaitu 0,05 atau (0,05</w:t>
      </w:r>
      <m:oMath>
        <m:r>
          <w:rPr>
            <w:rFonts w:ascii="Cambria Math" w:hAnsi="Cambria Math"/>
            <w:sz w:val="24"/>
            <w:szCs w:val="24"/>
            <w:lang w:val="en-US"/>
          </w:rPr>
          <m:t>≤</m:t>
        </m:r>
      </m:oMath>
      <w:r w:rsidRPr="00097066">
        <w:rPr>
          <w:sz w:val="24"/>
          <w:szCs w:val="24"/>
          <w:lang w:val="en-US"/>
        </w:rPr>
        <w:t xml:space="preserve">0,05). Hal ini menunjukkan bahwa variabel </w:t>
      </w:r>
      <w:r w:rsidRPr="00097066">
        <w:rPr>
          <w:i/>
          <w:sz w:val="24"/>
          <w:szCs w:val="24"/>
          <w:lang w:val="en-US"/>
        </w:rPr>
        <w:t xml:space="preserve">risk profile </w:t>
      </w:r>
      <w:r w:rsidRPr="00097066">
        <w:rPr>
          <w:sz w:val="24"/>
          <w:szCs w:val="24"/>
          <w:lang w:val="en-US"/>
        </w:rPr>
        <w:t xml:space="preserve">secara parsial berpengaruh negatif dan signifikan terhadap tingkat kesehatan bank pada </w:t>
      </w:r>
      <w:r w:rsidRPr="00097066">
        <w:rPr>
          <w:sz w:val="24"/>
          <w:szCs w:val="24"/>
          <w:lang w:val="en-US"/>
        </w:rPr>
        <w:lastRenderedPageBreak/>
        <w:t>perusahaan sektor perbankan yang terdaftar di Bursa Efek Indonesia pada tahun 2019-2021.</w:t>
      </w:r>
    </w:p>
    <w:p w14:paraId="429F3AB3" w14:textId="77777777" w:rsidR="006967C4" w:rsidRPr="00097066" w:rsidRDefault="006967C4" w:rsidP="00097066">
      <w:pPr>
        <w:pStyle w:val="ListParagraph"/>
        <w:numPr>
          <w:ilvl w:val="0"/>
          <w:numId w:val="11"/>
        </w:numPr>
        <w:ind w:left="284" w:hanging="284"/>
        <w:rPr>
          <w:iCs/>
          <w:sz w:val="24"/>
          <w:szCs w:val="24"/>
          <w:lang w:val="en-US"/>
        </w:rPr>
      </w:pPr>
      <w:r w:rsidRPr="00097066">
        <w:rPr>
          <w:i/>
          <w:sz w:val="24"/>
          <w:szCs w:val="24"/>
          <w:lang w:val="en-US"/>
        </w:rPr>
        <w:t xml:space="preserve">Good Corporate Governance </w:t>
      </w:r>
      <w:r w:rsidRPr="00097066">
        <w:rPr>
          <w:iCs/>
          <w:sz w:val="24"/>
          <w:szCs w:val="24"/>
          <w:lang w:val="en-US"/>
        </w:rPr>
        <w:t>(Komisaris Independen)</w:t>
      </w:r>
    </w:p>
    <w:p w14:paraId="719BC5F9" w14:textId="77777777" w:rsidR="006967C4" w:rsidRPr="00097066" w:rsidRDefault="006967C4" w:rsidP="00097066">
      <w:pPr>
        <w:ind w:left="0" w:firstLine="284"/>
        <w:rPr>
          <w:iCs/>
          <w:sz w:val="24"/>
          <w:szCs w:val="24"/>
          <w:lang w:val="en-US"/>
        </w:rPr>
      </w:pPr>
      <w:r w:rsidRPr="00097066">
        <w:rPr>
          <w:iCs/>
          <w:sz w:val="24"/>
          <w:szCs w:val="24"/>
          <w:lang w:val="en-US"/>
        </w:rPr>
        <w:t>Berdasarkan hasil t</w:t>
      </w:r>
      <w:r w:rsidRPr="00097066">
        <w:rPr>
          <w:iCs/>
          <w:sz w:val="24"/>
          <w:szCs w:val="24"/>
          <w:vertAlign w:val="subscript"/>
          <w:lang w:val="en-US"/>
        </w:rPr>
        <w:t>hitung</w:t>
      </w:r>
      <w:r w:rsidRPr="00097066">
        <w:rPr>
          <w:iCs/>
          <w:sz w:val="24"/>
          <w:szCs w:val="24"/>
          <w:lang w:val="en-US"/>
        </w:rPr>
        <w:t xml:space="preserve"> = -1,697 dan t</w:t>
      </w:r>
      <w:r w:rsidRPr="00097066">
        <w:rPr>
          <w:iCs/>
          <w:sz w:val="24"/>
          <w:szCs w:val="24"/>
          <w:vertAlign w:val="subscript"/>
          <w:lang w:val="en-US"/>
        </w:rPr>
        <w:t>tabel</w:t>
      </w:r>
      <w:r w:rsidRPr="00097066">
        <w:rPr>
          <w:iCs/>
          <w:sz w:val="24"/>
          <w:szCs w:val="24"/>
          <w:lang w:val="en-US"/>
        </w:rPr>
        <w:t xml:space="preserve"> = DF = N-K-1 (33-4-1=28) dengan taraf signifikan 0,05 hasil dari t</w:t>
      </w:r>
      <w:r w:rsidRPr="00097066">
        <w:rPr>
          <w:iCs/>
          <w:sz w:val="24"/>
          <w:szCs w:val="24"/>
          <w:vertAlign w:val="subscript"/>
          <w:lang w:val="en-US"/>
        </w:rPr>
        <w:t>tabel</w:t>
      </w:r>
      <w:r w:rsidRPr="00097066">
        <w:rPr>
          <w:iCs/>
          <w:sz w:val="24"/>
          <w:szCs w:val="24"/>
          <w:lang w:val="en-US"/>
        </w:rPr>
        <w:t xml:space="preserve"> adalah 1,895 maka hasil t</w:t>
      </w:r>
      <w:r w:rsidRPr="00097066">
        <w:rPr>
          <w:iCs/>
          <w:sz w:val="24"/>
          <w:szCs w:val="24"/>
          <w:vertAlign w:val="subscript"/>
          <w:lang w:val="en-US"/>
        </w:rPr>
        <w:t>hitung</w:t>
      </w:r>
      <w:r w:rsidRPr="00097066">
        <w:rPr>
          <w:iCs/>
          <w:sz w:val="24"/>
          <w:szCs w:val="24"/>
          <w:lang w:val="en-US"/>
        </w:rPr>
        <w:t xml:space="preserve"> lebih kecil dari t</w:t>
      </w:r>
      <w:r w:rsidRPr="00097066">
        <w:rPr>
          <w:iCs/>
          <w:sz w:val="24"/>
          <w:szCs w:val="24"/>
          <w:vertAlign w:val="subscript"/>
          <w:lang w:val="en-US"/>
        </w:rPr>
        <w:t>tabel</w:t>
      </w:r>
      <w:r w:rsidRPr="00097066">
        <w:rPr>
          <w:iCs/>
          <w:sz w:val="24"/>
          <w:szCs w:val="24"/>
          <w:lang w:val="en-US"/>
        </w:rPr>
        <w:t xml:space="preserve"> (-1,697&lt;1,895). Nilai signifikan menunjukkan lebih besar dari 0,05 yaitu 0,101  atau (0,101&gt;0,05). Hal ini menunjukkan bahwa variabel </w:t>
      </w:r>
      <w:r w:rsidRPr="00097066">
        <w:rPr>
          <w:i/>
          <w:sz w:val="24"/>
          <w:szCs w:val="24"/>
          <w:lang w:val="en-US"/>
        </w:rPr>
        <w:t>good corporate governance</w:t>
      </w:r>
      <w:r w:rsidRPr="00097066">
        <w:rPr>
          <w:iCs/>
          <w:sz w:val="24"/>
          <w:szCs w:val="24"/>
          <w:lang w:val="en-US"/>
        </w:rPr>
        <w:t xml:space="preserve"> secara parsial berpengaruh negatif dan tidak signifikan terhadap tingkat kesehatan bank pada perusahaan sektor perbankan yang terdaftar di Bursa Efek Indonesia pada tahun 2019-2021.</w:t>
      </w:r>
    </w:p>
    <w:p w14:paraId="0006D407" w14:textId="77777777" w:rsidR="006967C4" w:rsidRPr="00097066" w:rsidRDefault="006967C4" w:rsidP="00097066">
      <w:pPr>
        <w:pStyle w:val="ListParagraph"/>
        <w:numPr>
          <w:ilvl w:val="0"/>
          <w:numId w:val="11"/>
        </w:numPr>
        <w:ind w:left="284" w:hanging="284"/>
        <w:rPr>
          <w:sz w:val="24"/>
          <w:szCs w:val="24"/>
          <w:lang w:val="en-US"/>
        </w:rPr>
      </w:pPr>
      <w:r w:rsidRPr="00097066">
        <w:rPr>
          <w:i/>
          <w:sz w:val="24"/>
          <w:szCs w:val="24"/>
          <w:lang w:val="en-US"/>
        </w:rPr>
        <w:t xml:space="preserve">Earning </w:t>
      </w:r>
      <w:r w:rsidRPr="00097066">
        <w:rPr>
          <w:sz w:val="24"/>
          <w:szCs w:val="24"/>
          <w:lang w:val="en-US"/>
        </w:rPr>
        <w:t>(</w:t>
      </w:r>
      <w:r w:rsidRPr="00097066">
        <w:rPr>
          <w:i/>
          <w:sz w:val="24"/>
          <w:szCs w:val="24"/>
          <w:lang w:val="en-US"/>
        </w:rPr>
        <w:t>Return On Asset</w:t>
      </w:r>
      <w:r w:rsidRPr="00097066">
        <w:rPr>
          <w:sz w:val="24"/>
          <w:szCs w:val="24"/>
          <w:lang w:val="en-US"/>
        </w:rPr>
        <w:t>)</w:t>
      </w:r>
    </w:p>
    <w:p w14:paraId="2100B9AE" w14:textId="77777777" w:rsidR="006967C4" w:rsidRPr="00097066" w:rsidRDefault="006967C4" w:rsidP="00097066">
      <w:pPr>
        <w:ind w:left="0" w:firstLine="284"/>
        <w:rPr>
          <w:sz w:val="24"/>
          <w:szCs w:val="24"/>
          <w:lang w:val="en-US"/>
        </w:rPr>
      </w:pPr>
      <w:r w:rsidRPr="00097066">
        <w:rPr>
          <w:iCs/>
          <w:sz w:val="24"/>
          <w:szCs w:val="24"/>
          <w:lang w:val="en-US"/>
        </w:rPr>
        <w:t>Berdasarkan hasil t</w:t>
      </w:r>
      <w:r w:rsidRPr="00097066">
        <w:rPr>
          <w:iCs/>
          <w:sz w:val="24"/>
          <w:szCs w:val="24"/>
          <w:vertAlign w:val="subscript"/>
          <w:lang w:val="en-US"/>
        </w:rPr>
        <w:t>hitung</w:t>
      </w:r>
      <w:r w:rsidRPr="00097066">
        <w:rPr>
          <w:iCs/>
          <w:sz w:val="24"/>
          <w:szCs w:val="24"/>
          <w:lang w:val="en-US"/>
        </w:rPr>
        <w:t xml:space="preserve"> = 0,683 dan t</w:t>
      </w:r>
      <w:r w:rsidRPr="00097066">
        <w:rPr>
          <w:iCs/>
          <w:sz w:val="24"/>
          <w:szCs w:val="24"/>
          <w:vertAlign w:val="subscript"/>
          <w:lang w:val="en-US"/>
        </w:rPr>
        <w:t>tabel</w:t>
      </w:r>
      <w:r w:rsidRPr="00097066">
        <w:rPr>
          <w:iCs/>
          <w:sz w:val="24"/>
          <w:szCs w:val="24"/>
          <w:lang w:val="en-US"/>
        </w:rPr>
        <w:t xml:space="preserve"> = DF = N-K-1 (33-4-1=28) dengan taraf signifikan 0,05 hasil dari t</w:t>
      </w:r>
      <w:r w:rsidRPr="00097066">
        <w:rPr>
          <w:iCs/>
          <w:sz w:val="24"/>
          <w:szCs w:val="24"/>
          <w:vertAlign w:val="subscript"/>
          <w:lang w:val="en-US"/>
        </w:rPr>
        <w:t>tabel</w:t>
      </w:r>
      <w:r w:rsidRPr="00097066">
        <w:rPr>
          <w:iCs/>
          <w:sz w:val="24"/>
          <w:szCs w:val="24"/>
          <w:lang w:val="en-US"/>
        </w:rPr>
        <w:t xml:space="preserve"> adalah 1,895 maka hasil t</w:t>
      </w:r>
      <w:r w:rsidRPr="00097066">
        <w:rPr>
          <w:iCs/>
          <w:sz w:val="24"/>
          <w:szCs w:val="24"/>
          <w:vertAlign w:val="subscript"/>
          <w:lang w:val="en-US"/>
        </w:rPr>
        <w:t>hitung</w:t>
      </w:r>
      <w:r w:rsidRPr="00097066">
        <w:rPr>
          <w:iCs/>
          <w:sz w:val="24"/>
          <w:szCs w:val="24"/>
          <w:lang w:val="en-US"/>
        </w:rPr>
        <w:t xml:space="preserve"> lebih kecil dari t</w:t>
      </w:r>
      <w:r w:rsidRPr="00097066">
        <w:rPr>
          <w:iCs/>
          <w:sz w:val="24"/>
          <w:szCs w:val="24"/>
          <w:vertAlign w:val="subscript"/>
          <w:lang w:val="en-US"/>
        </w:rPr>
        <w:t>tabel</w:t>
      </w:r>
      <w:r w:rsidRPr="00097066">
        <w:rPr>
          <w:iCs/>
          <w:sz w:val="24"/>
          <w:szCs w:val="24"/>
          <w:lang w:val="en-US"/>
        </w:rPr>
        <w:t xml:space="preserve"> (0,683&lt;1,895). Nilai signifikan menunjukkan lebih besar dari 0,05 yaitu 0,500  atau (0,500&gt;0,05). Hal ini menunjukkan bahwa variabel </w:t>
      </w:r>
      <w:r w:rsidRPr="00097066">
        <w:rPr>
          <w:i/>
          <w:sz w:val="24"/>
          <w:szCs w:val="24"/>
          <w:lang w:val="en-US"/>
        </w:rPr>
        <w:t>earning</w:t>
      </w:r>
      <w:r w:rsidRPr="00097066">
        <w:rPr>
          <w:iCs/>
          <w:sz w:val="24"/>
          <w:szCs w:val="24"/>
          <w:lang w:val="en-US"/>
        </w:rPr>
        <w:t xml:space="preserve"> secara parsial berpengaruh positif dan tidak signifikan terhadap tingkat kesehatan bank pada perusahaan sektor perbankan yang terdaftar di Bursa Efek Indonesia pada tahun 2019-2021.</w:t>
      </w:r>
    </w:p>
    <w:p w14:paraId="33E01756" w14:textId="77777777" w:rsidR="006967C4" w:rsidRPr="00097066" w:rsidRDefault="006967C4" w:rsidP="00097066">
      <w:pPr>
        <w:pStyle w:val="ListParagraph"/>
        <w:numPr>
          <w:ilvl w:val="0"/>
          <w:numId w:val="11"/>
        </w:numPr>
        <w:ind w:left="284" w:hanging="284"/>
        <w:rPr>
          <w:sz w:val="24"/>
          <w:szCs w:val="24"/>
          <w:lang w:val="en-US"/>
        </w:rPr>
      </w:pPr>
      <w:r w:rsidRPr="00097066">
        <w:rPr>
          <w:i/>
          <w:sz w:val="24"/>
          <w:szCs w:val="24"/>
          <w:lang w:val="en-US"/>
        </w:rPr>
        <w:t xml:space="preserve">Capital </w:t>
      </w:r>
      <w:r w:rsidRPr="00097066">
        <w:rPr>
          <w:sz w:val="24"/>
          <w:szCs w:val="24"/>
          <w:lang w:val="en-US"/>
        </w:rPr>
        <w:t>(</w:t>
      </w:r>
      <w:r w:rsidRPr="00097066">
        <w:rPr>
          <w:i/>
          <w:sz w:val="24"/>
          <w:szCs w:val="24"/>
          <w:lang w:val="en-US"/>
        </w:rPr>
        <w:t>Capital Adequacy Ratio</w:t>
      </w:r>
      <w:r w:rsidRPr="00097066">
        <w:rPr>
          <w:sz w:val="24"/>
          <w:szCs w:val="24"/>
          <w:lang w:val="en-US"/>
        </w:rPr>
        <w:t>)</w:t>
      </w:r>
    </w:p>
    <w:p w14:paraId="42F24C99" w14:textId="40FF0BF6" w:rsidR="007965B9" w:rsidRPr="00097066" w:rsidRDefault="006967C4" w:rsidP="00097066">
      <w:pPr>
        <w:ind w:left="0" w:firstLine="284"/>
        <w:rPr>
          <w:sz w:val="24"/>
          <w:szCs w:val="24"/>
          <w:lang w:val="en-US"/>
        </w:rPr>
      </w:pPr>
      <w:r w:rsidRPr="00097066">
        <w:rPr>
          <w:sz w:val="24"/>
          <w:szCs w:val="24"/>
          <w:lang w:val="en-US"/>
        </w:rPr>
        <w:t>Berdasarkan hasil t</w:t>
      </w:r>
      <w:r w:rsidRPr="00097066">
        <w:rPr>
          <w:sz w:val="24"/>
          <w:szCs w:val="24"/>
          <w:vertAlign w:val="subscript"/>
          <w:lang w:val="en-US"/>
        </w:rPr>
        <w:t xml:space="preserve">hitung </w:t>
      </w:r>
      <w:r w:rsidRPr="00097066">
        <w:rPr>
          <w:sz w:val="24"/>
          <w:szCs w:val="24"/>
          <w:lang w:val="en-US"/>
        </w:rPr>
        <w:t>= -</w:t>
      </w:r>
      <w:r w:rsidRPr="00097066">
        <w:rPr>
          <w:sz w:val="24"/>
          <w:szCs w:val="24"/>
        </w:rPr>
        <w:t xml:space="preserve">1,795 </w:t>
      </w:r>
      <w:r w:rsidRPr="00097066">
        <w:rPr>
          <w:sz w:val="24"/>
          <w:szCs w:val="24"/>
          <w:lang w:val="en-US"/>
        </w:rPr>
        <w:t>dan t</w:t>
      </w:r>
      <w:r w:rsidRPr="00097066">
        <w:rPr>
          <w:sz w:val="24"/>
          <w:szCs w:val="24"/>
          <w:vertAlign w:val="subscript"/>
          <w:lang w:val="en-US"/>
        </w:rPr>
        <w:t>tabel</w:t>
      </w:r>
      <w:r w:rsidRPr="00097066">
        <w:rPr>
          <w:sz w:val="24"/>
          <w:szCs w:val="24"/>
          <w:lang w:val="en-US"/>
        </w:rPr>
        <w:t xml:space="preserve"> = DF = N-K-1 (33-4-1=28) dengan taraf signifikan 0,05 hasil dari t</w:t>
      </w:r>
      <w:r w:rsidRPr="00097066">
        <w:rPr>
          <w:sz w:val="24"/>
          <w:szCs w:val="24"/>
          <w:vertAlign w:val="subscript"/>
          <w:lang w:val="en-US"/>
        </w:rPr>
        <w:t>tabel</w:t>
      </w:r>
      <w:r w:rsidRPr="00097066">
        <w:rPr>
          <w:sz w:val="24"/>
          <w:szCs w:val="24"/>
          <w:lang w:val="en-US"/>
        </w:rPr>
        <w:t xml:space="preserve"> adalah 1,895 maka hasil t</w:t>
      </w:r>
      <w:r w:rsidRPr="00097066">
        <w:rPr>
          <w:sz w:val="24"/>
          <w:szCs w:val="24"/>
          <w:vertAlign w:val="subscript"/>
          <w:lang w:val="en-US"/>
        </w:rPr>
        <w:t>hitung</w:t>
      </w:r>
      <w:r w:rsidRPr="00097066">
        <w:rPr>
          <w:sz w:val="24"/>
          <w:szCs w:val="24"/>
          <w:lang w:val="en-US"/>
        </w:rPr>
        <w:t xml:space="preserve"> lebih kecil dari t</w:t>
      </w:r>
      <w:r w:rsidRPr="00097066">
        <w:rPr>
          <w:sz w:val="24"/>
          <w:szCs w:val="24"/>
          <w:vertAlign w:val="subscript"/>
          <w:lang w:val="en-US"/>
        </w:rPr>
        <w:t xml:space="preserve">tabel </w:t>
      </w:r>
      <w:r w:rsidRPr="00097066">
        <w:rPr>
          <w:sz w:val="24"/>
          <w:szCs w:val="24"/>
          <w:lang w:val="en-US"/>
        </w:rPr>
        <w:t xml:space="preserve">(-1,795&lt;1,895). Nilai signifikan menunjukkan lebih besar dari 0,05 yaitu 0,084 atau (0,084&gt;0,05). Hal ini menunjukkan bahwa variabel </w:t>
      </w:r>
      <w:r w:rsidRPr="00097066">
        <w:rPr>
          <w:i/>
          <w:sz w:val="24"/>
          <w:szCs w:val="24"/>
        </w:rPr>
        <w:t>capital</w:t>
      </w:r>
      <w:r w:rsidRPr="00097066">
        <w:rPr>
          <w:i/>
          <w:sz w:val="24"/>
          <w:szCs w:val="24"/>
          <w:lang w:val="en-US"/>
        </w:rPr>
        <w:t xml:space="preserve"> </w:t>
      </w:r>
      <w:r w:rsidRPr="00097066">
        <w:rPr>
          <w:sz w:val="24"/>
          <w:szCs w:val="24"/>
          <w:lang w:val="en-US"/>
        </w:rPr>
        <w:t>secara parsial berpengaruh negatif dan tidak signifikan terhadap tingkat kesehatan bank pada perusahaan sektor perbankan yang terdaftar di Bursa Efek Indonesia pada tahun 2019-2021.</w:t>
      </w:r>
      <w:bookmarkEnd w:id="8"/>
    </w:p>
    <w:p w14:paraId="1014D8F1" w14:textId="77777777" w:rsidR="00DC32DF" w:rsidRPr="00097066" w:rsidRDefault="00DC32DF" w:rsidP="00097066">
      <w:pPr>
        <w:pStyle w:val="ListParagraph"/>
        <w:ind w:left="0" w:firstLine="0"/>
        <w:rPr>
          <w:b/>
          <w:sz w:val="24"/>
          <w:szCs w:val="24"/>
          <w:lang w:val="id"/>
        </w:rPr>
      </w:pPr>
      <w:r w:rsidRPr="00097066">
        <w:rPr>
          <w:b/>
          <w:sz w:val="24"/>
          <w:szCs w:val="24"/>
        </w:rPr>
        <w:t>Uji Simultan (Uji F)</w:t>
      </w:r>
    </w:p>
    <w:p w14:paraId="0AD34176" w14:textId="5619CD27" w:rsidR="00DC32DF" w:rsidRPr="00097066" w:rsidRDefault="00DC32DF" w:rsidP="00097066">
      <w:pPr>
        <w:ind w:left="0" w:firstLine="0"/>
        <w:jc w:val="center"/>
        <w:rPr>
          <w:b/>
          <w:sz w:val="24"/>
          <w:szCs w:val="24"/>
        </w:rPr>
      </w:pPr>
      <w:r w:rsidRPr="00097066">
        <w:rPr>
          <w:b/>
          <w:sz w:val="24"/>
          <w:szCs w:val="24"/>
        </w:rPr>
        <w:t xml:space="preserve">Tabel </w:t>
      </w:r>
      <w:r w:rsidR="007965B9" w:rsidRPr="00097066">
        <w:rPr>
          <w:b/>
          <w:sz w:val="24"/>
          <w:szCs w:val="24"/>
        </w:rPr>
        <w:t>6</w:t>
      </w:r>
      <w:r w:rsidRPr="00097066">
        <w:rPr>
          <w:b/>
          <w:sz w:val="24"/>
          <w:szCs w:val="24"/>
        </w:rPr>
        <w:t xml:space="preserve"> Hasil Uji F</w:t>
      </w:r>
    </w:p>
    <w:tbl>
      <w:tblPr>
        <w:tblStyle w:val="TableGrid"/>
        <w:tblW w:w="7603" w:type="dxa"/>
        <w:jc w:val="center"/>
        <w:tblLayout w:type="fixed"/>
        <w:tblLook w:val="0000" w:firstRow="0" w:lastRow="0" w:firstColumn="0" w:lastColumn="0" w:noHBand="0" w:noVBand="0"/>
      </w:tblPr>
      <w:tblGrid>
        <w:gridCol w:w="515"/>
        <w:gridCol w:w="1418"/>
        <w:gridCol w:w="1417"/>
        <w:gridCol w:w="993"/>
        <w:gridCol w:w="1559"/>
        <w:gridCol w:w="850"/>
        <w:gridCol w:w="851"/>
      </w:tblGrid>
      <w:tr w:rsidR="007965B9" w:rsidRPr="00097066" w14:paraId="24FEE00B" w14:textId="77777777" w:rsidTr="007E3264">
        <w:trPr>
          <w:jc w:val="center"/>
        </w:trPr>
        <w:tc>
          <w:tcPr>
            <w:tcW w:w="7603" w:type="dxa"/>
            <w:gridSpan w:val="7"/>
          </w:tcPr>
          <w:p w14:paraId="261F975F" w14:textId="77777777" w:rsidR="007965B9" w:rsidRPr="00097066" w:rsidRDefault="007965B9" w:rsidP="00097066">
            <w:pPr>
              <w:autoSpaceDE w:val="0"/>
              <w:autoSpaceDN w:val="0"/>
              <w:adjustRightInd w:val="0"/>
              <w:ind w:left="0" w:firstLine="0"/>
              <w:jc w:val="center"/>
              <w:rPr>
                <w:rFonts w:eastAsiaTheme="minorHAnsi"/>
                <w:sz w:val="24"/>
                <w:szCs w:val="24"/>
              </w:rPr>
            </w:pPr>
            <w:bookmarkStart w:id="9" w:name="_Hlk147176681"/>
            <w:r w:rsidRPr="00097066">
              <w:rPr>
                <w:rFonts w:eastAsiaTheme="minorHAnsi"/>
                <w:b/>
                <w:bCs/>
                <w:sz w:val="24"/>
                <w:szCs w:val="24"/>
              </w:rPr>
              <w:t>ANOVA</w:t>
            </w:r>
            <w:r w:rsidRPr="00097066">
              <w:rPr>
                <w:rFonts w:eastAsiaTheme="minorHAnsi"/>
                <w:b/>
                <w:bCs/>
                <w:sz w:val="24"/>
                <w:szCs w:val="24"/>
                <w:vertAlign w:val="superscript"/>
              </w:rPr>
              <w:t>a</w:t>
            </w:r>
          </w:p>
        </w:tc>
      </w:tr>
      <w:tr w:rsidR="007965B9" w:rsidRPr="00097066" w14:paraId="6E7C06C1" w14:textId="77777777" w:rsidTr="007E3264">
        <w:trPr>
          <w:jc w:val="center"/>
        </w:trPr>
        <w:tc>
          <w:tcPr>
            <w:tcW w:w="1933" w:type="dxa"/>
            <w:gridSpan w:val="2"/>
          </w:tcPr>
          <w:p w14:paraId="60E5D93D" w14:textId="77777777" w:rsidR="007965B9" w:rsidRPr="00097066" w:rsidRDefault="007965B9" w:rsidP="00097066">
            <w:pPr>
              <w:autoSpaceDE w:val="0"/>
              <w:autoSpaceDN w:val="0"/>
              <w:adjustRightInd w:val="0"/>
              <w:ind w:left="0" w:firstLine="0"/>
              <w:jc w:val="center"/>
              <w:rPr>
                <w:rFonts w:eastAsiaTheme="minorHAnsi"/>
                <w:sz w:val="24"/>
                <w:szCs w:val="24"/>
              </w:rPr>
            </w:pPr>
            <w:r w:rsidRPr="00097066">
              <w:rPr>
                <w:rFonts w:eastAsiaTheme="minorHAnsi"/>
                <w:sz w:val="24"/>
                <w:szCs w:val="24"/>
              </w:rPr>
              <w:t>Model</w:t>
            </w:r>
          </w:p>
        </w:tc>
        <w:tc>
          <w:tcPr>
            <w:tcW w:w="1417" w:type="dxa"/>
          </w:tcPr>
          <w:p w14:paraId="6CCBF1CB" w14:textId="77777777" w:rsidR="007965B9" w:rsidRPr="00097066" w:rsidRDefault="007965B9" w:rsidP="00097066">
            <w:pPr>
              <w:autoSpaceDE w:val="0"/>
              <w:autoSpaceDN w:val="0"/>
              <w:adjustRightInd w:val="0"/>
              <w:ind w:left="0" w:firstLine="0"/>
              <w:jc w:val="center"/>
              <w:rPr>
                <w:rFonts w:eastAsiaTheme="minorHAnsi"/>
                <w:sz w:val="24"/>
                <w:szCs w:val="24"/>
              </w:rPr>
            </w:pPr>
            <w:r w:rsidRPr="00097066">
              <w:rPr>
                <w:rFonts w:eastAsiaTheme="minorHAnsi"/>
                <w:sz w:val="24"/>
                <w:szCs w:val="24"/>
              </w:rPr>
              <w:t>Sum of Squares</w:t>
            </w:r>
          </w:p>
        </w:tc>
        <w:tc>
          <w:tcPr>
            <w:tcW w:w="993" w:type="dxa"/>
          </w:tcPr>
          <w:p w14:paraId="6707E384" w14:textId="77777777" w:rsidR="007965B9" w:rsidRPr="00097066" w:rsidRDefault="007965B9" w:rsidP="00097066">
            <w:pPr>
              <w:autoSpaceDE w:val="0"/>
              <w:autoSpaceDN w:val="0"/>
              <w:adjustRightInd w:val="0"/>
              <w:ind w:left="0" w:firstLine="0"/>
              <w:jc w:val="center"/>
              <w:rPr>
                <w:rFonts w:eastAsiaTheme="minorHAnsi"/>
                <w:sz w:val="24"/>
                <w:szCs w:val="24"/>
              </w:rPr>
            </w:pPr>
            <w:r w:rsidRPr="00097066">
              <w:rPr>
                <w:rFonts w:eastAsiaTheme="minorHAnsi"/>
                <w:sz w:val="24"/>
                <w:szCs w:val="24"/>
              </w:rPr>
              <w:t>Df</w:t>
            </w:r>
          </w:p>
        </w:tc>
        <w:tc>
          <w:tcPr>
            <w:tcW w:w="1559" w:type="dxa"/>
          </w:tcPr>
          <w:p w14:paraId="34B03903" w14:textId="77777777" w:rsidR="007965B9" w:rsidRPr="00097066" w:rsidRDefault="007965B9" w:rsidP="00097066">
            <w:pPr>
              <w:autoSpaceDE w:val="0"/>
              <w:autoSpaceDN w:val="0"/>
              <w:adjustRightInd w:val="0"/>
              <w:ind w:left="0" w:firstLine="0"/>
              <w:jc w:val="center"/>
              <w:rPr>
                <w:rFonts w:eastAsiaTheme="minorHAnsi"/>
                <w:sz w:val="24"/>
                <w:szCs w:val="24"/>
              </w:rPr>
            </w:pPr>
            <w:r w:rsidRPr="00097066">
              <w:rPr>
                <w:rFonts w:eastAsiaTheme="minorHAnsi"/>
                <w:sz w:val="24"/>
                <w:szCs w:val="24"/>
              </w:rPr>
              <w:t>Mean Square</w:t>
            </w:r>
          </w:p>
        </w:tc>
        <w:tc>
          <w:tcPr>
            <w:tcW w:w="850" w:type="dxa"/>
          </w:tcPr>
          <w:p w14:paraId="6787FDCE" w14:textId="77777777" w:rsidR="007965B9" w:rsidRPr="00097066" w:rsidRDefault="007965B9" w:rsidP="00097066">
            <w:pPr>
              <w:autoSpaceDE w:val="0"/>
              <w:autoSpaceDN w:val="0"/>
              <w:adjustRightInd w:val="0"/>
              <w:ind w:left="0" w:firstLine="0"/>
              <w:jc w:val="center"/>
              <w:rPr>
                <w:rFonts w:eastAsiaTheme="minorHAnsi"/>
                <w:sz w:val="24"/>
                <w:szCs w:val="24"/>
              </w:rPr>
            </w:pPr>
            <w:r w:rsidRPr="00097066">
              <w:rPr>
                <w:rFonts w:eastAsiaTheme="minorHAnsi"/>
                <w:sz w:val="24"/>
                <w:szCs w:val="24"/>
              </w:rPr>
              <w:t>F</w:t>
            </w:r>
          </w:p>
        </w:tc>
        <w:tc>
          <w:tcPr>
            <w:tcW w:w="851" w:type="dxa"/>
          </w:tcPr>
          <w:p w14:paraId="6720C03E" w14:textId="77777777" w:rsidR="007965B9" w:rsidRPr="00097066" w:rsidRDefault="007965B9" w:rsidP="00097066">
            <w:pPr>
              <w:autoSpaceDE w:val="0"/>
              <w:autoSpaceDN w:val="0"/>
              <w:adjustRightInd w:val="0"/>
              <w:ind w:left="0" w:firstLine="0"/>
              <w:jc w:val="center"/>
              <w:rPr>
                <w:rFonts w:eastAsiaTheme="minorHAnsi"/>
                <w:sz w:val="24"/>
                <w:szCs w:val="24"/>
              </w:rPr>
            </w:pPr>
            <w:r w:rsidRPr="00097066">
              <w:rPr>
                <w:rFonts w:eastAsiaTheme="minorHAnsi"/>
                <w:sz w:val="24"/>
                <w:szCs w:val="24"/>
              </w:rPr>
              <w:t>Sig.</w:t>
            </w:r>
          </w:p>
        </w:tc>
      </w:tr>
      <w:tr w:rsidR="007965B9" w:rsidRPr="00097066" w14:paraId="202A740E" w14:textId="77777777" w:rsidTr="007E3264">
        <w:trPr>
          <w:jc w:val="center"/>
        </w:trPr>
        <w:tc>
          <w:tcPr>
            <w:tcW w:w="515" w:type="dxa"/>
            <w:vMerge w:val="restart"/>
          </w:tcPr>
          <w:p w14:paraId="271BFA19" w14:textId="77777777" w:rsidR="007965B9" w:rsidRPr="00097066" w:rsidRDefault="007965B9" w:rsidP="00097066">
            <w:pPr>
              <w:autoSpaceDE w:val="0"/>
              <w:autoSpaceDN w:val="0"/>
              <w:adjustRightInd w:val="0"/>
              <w:ind w:left="0" w:hanging="60"/>
              <w:jc w:val="center"/>
              <w:rPr>
                <w:rFonts w:eastAsiaTheme="minorHAnsi"/>
                <w:sz w:val="24"/>
                <w:szCs w:val="24"/>
              </w:rPr>
            </w:pPr>
            <w:r w:rsidRPr="00097066">
              <w:rPr>
                <w:rFonts w:eastAsiaTheme="minorHAnsi"/>
                <w:sz w:val="24"/>
                <w:szCs w:val="24"/>
              </w:rPr>
              <w:t>1</w:t>
            </w:r>
          </w:p>
        </w:tc>
        <w:tc>
          <w:tcPr>
            <w:tcW w:w="1418" w:type="dxa"/>
          </w:tcPr>
          <w:p w14:paraId="77565EC8" w14:textId="77777777" w:rsidR="007965B9" w:rsidRPr="00097066" w:rsidRDefault="007965B9" w:rsidP="00097066">
            <w:pPr>
              <w:autoSpaceDE w:val="0"/>
              <w:autoSpaceDN w:val="0"/>
              <w:adjustRightInd w:val="0"/>
              <w:ind w:left="0" w:firstLine="0"/>
              <w:jc w:val="center"/>
              <w:rPr>
                <w:rFonts w:eastAsiaTheme="minorHAnsi"/>
                <w:sz w:val="24"/>
                <w:szCs w:val="24"/>
              </w:rPr>
            </w:pPr>
            <w:r w:rsidRPr="00097066">
              <w:rPr>
                <w:rFonts w:eastAsiaTheme="minorHAnsi"/>
                <w:sz w:val="24"/>
                <w:szCs w:val="24"/>
              </w:rPr>
              <w:t>Regression</w:t>
            </w:r>
          </w:p>
        </w:tc>
        <w:tc>
          <w:tcPr>
            <w:tcW w:w="1417" w:type="dxa"/>
          </w:tcPr>
          <w:p w14:paraId="477F065B" w14:textId="77777777" w:rsidR="007965B9" w:rsidRPr="00097066" w:rsidRDefault="007965B9" w:rsidP="00097066">
            <w:pPr>
              <w:autoSpaceDE w:val="0"/>
              <w:autoSpaceDN w:val="0"/>
              <w:adjustRightInd w:val="0"/>
              <w:ind w:left="0" w:firstLine="0"/>
              <w:jc w:val="center"/>
              <w:rPr>
                <w:rFonts w:eastAsiaTheme="minorHAnsi"/>
                <w:sz w:val="24"/>
                <w:szCs w:val="24"/>
              </w:rPr>
            </w:pPr>
            <w:r w:rsidRPr="00097066">
              <w:rPr>
                <w:rFonts w:eastAsiaTheme="minorHAnsi"/>
                <w:sz w:val="24"/>
                <w:szCs w:val="24"/>
              </w:rPr>
              <w:t>1,119</w:t>
            </w:r>
          </w:p>
        </w:tc>
        <w:tc>
          <w:tcPr>
            <w:tcW w:w="993" w:type="dxa"/>
          </w:tcPr>
          <w:p w14:paraId="6F23B9E1" w14:textId="77777777" w:rsidR="007965B9" w:rsidRPr="00097066" w:rsidRDefault="007965B9" w:rsidP="00097066">
            <w:pPr>
              <w:autoSpaceDE w:val="0"/>
              <w:autoSpaceDN w:val="0"/>
              <w:adjustRightInd w:val="0"/>
              <w:ind w:left="0" w:firstLine="0"/>
              <w:jc w:val="center"/>
              <w:rPr>
                <w:rFonts w:eastAsiaTheme="minorHAnsi"/>
                <w:sz w:val="24"/>
                <w:szCs w:val="24"/>
              </w:rPr>
            </w:pPr>
            <w:r w:rsidRPr="00097066">
              <w:rPr>
                <w:rFonts w:eastAsiaTheme="minorHAnsi"/>
                <w:sz w:val="24"/>
                <w:szCs w:val="24"/>
              </w:rPr>
              <w:t>4</w:t>
            </w:r>
          </w:p>
        </w:tc>
        <w:tc>
          <w:tcPr>
            <w:tcW w:w="1559" w:type="dxa"/>
          </w:tcPr>
          <w:p w14:paraId="489EF15C" w14:textId="77777777" w:rsidR="007965B9" w:rsidRPr="00097066" w:rsidRDefault="007965B9" w:rsidP="00097066">
            <w:pPr>
              <w:autoSpaceDE w:val="0"/>
              <w:autoSpaceDN w:val="0"/>
              <w:adjustRightInd w:val="0"/>
              <w:ind w:left="0" w:firstLine="0"/>
              <w:jc w:val="center"/>
              <w:rPr>
                <w:rFonts w:eastAsiaTheme="minorHAnsi"/>
                <w:sz w:val="24"/>
                <w:szCs w:val="24"/>
              </w:rPr>
            </w:pPr>
            <w:r w:rsidRPr="00097066">
              <w:rPr>
                <w:rFonts w:eastAsiaTheme="minorHAnsi"/>
                <w:sz w:val="24"/>
                <w:szCs w:val="24"/>
              </w:rPr>
              <w:t>,280</w:t>
            </w:r>
          </w:p>
        </w:tc>
        <w:tc>
          <w:tcPr>
            <w:tcW w:w="850" w:type="dxa"/>
          </w:tcPr>
          <w:p w14:paraId="149E43BF" w14:textId="77777777" w:rsidR="007965B9" w:rsidRPr="00097066" w:rsidRDefault="007965B9" w:rsidP="00097066">
            <w:pPr>
              <w:autoSpaceDE w:val="0"/>
              <w:autoSpaceDN w:val="0"/>
              <w:adjustRightInd w:val="0"/>
              <w:ind w:left="0" w:firstLine="0"/>
              <w:jc w:val="center"/>
              <w:rPr>
                <w:rFonts w:eastAsiaTheme="minorHAnsi"/>
                <w:sz w:val="24"/>
                <w:szCs w:val="24"/>
              </w:rPr>
            </w:pPr>
            <w:r w:rsidRPr="00097066">
              <w:rPr>
                <w:rFonts w:eastAsiaTheme="minorHAnsi"/>
                <w:sz w:val="24"/>
                <w:szCs w:val="24"/>
              </w:rPr>
              <w:t>3,206</w:t>
            </w:r>
          </w:p>
        </w:tc>
        <w:tc>
          <w:tcPr>
            <w:tcW w:w="851" w:type="dxa"/>
          </w:tcPr>
          <w:p w14:paraId="1699AA64" w14:textId="77777777" w:rsidR="007965B9" w:rsidRPr="00097066" w:rsidRDefault="007965B9" w:rsidP="00097066">
            <w:pPr>
              <w:autoSpaceDE w:val="0"/>
              <w:autoSpaceDN w:val="0"/>
              <w:adjustRightInd w:val="0"/>
              <w:ind w:left="0" w:firstLine="0"/>
              <w:jc w:val="center"/>
              <w:rPr>
                <w:rFonts w:eastAsiaTheme="minorHAnsi"/>
                <w:sz w:val="24"/>
                <w:szCs w:val="24"/>
              </w:rPr>
            </w:pPr>
            <w:r w:rsidRPr="00097066">
              <w:rPr>
                <w:rFonts w:eastAsiaTheme="minorHAnsi"/>
                <w:sz w:val="24"/>
                <w:szCs w:val="24"/>
              </w:rPr>
              <w:t>,028</w:t>
            </w:r>
            <w:r w:rsidRPr="00097066">
              <w:rPr>
                <w:rFonts w:eastAsiaTheme="minorHAnsi"/>
                <w:sz w:val="24"/>
                <w:szCs w:val="24"/>
                <w:vertAlign w:val="superscript"/>
              </w:rPr>
              <w:t>b</w:t>
            </w:r>
          </w:p>
        </w:tc>
      </w:tr>
      <w:tr w:rsidR="007965B9" w:rsidRPr="00097066" w14:paraId="598F651E" w14:textId="77777777" w:rsidTr="007E3264">
        <w:trPr>
          <w:jc w:val="center"/>
        </w:trPr>
        <w:tc>
          <w:tcPr>
            <w:tcW w:w="515" w:type="dxa"/>
            <w:vMerge/>
          </w:tcPr>
          <w:p w14:paraId="17B2F9A1" w14:textId="77777777" w:rsidR="007965B9" w:rsidRPr="00097066" w:rsidRDefault="007965B9" w:rsidP="00097066">
            <w:pPr>
              <w:autoSpaceDE w:val="0"/>
              <w:autoSpaceDN w:val="0"/>
              <w:adjustRightInd w:val="0"/>
              <w:ind w:left="0"/>
              <w:jc w:val="center"/>
              <w:rPr>
                <w:rFonts w:eastAsiaTheme="minorHAnsi"/>
                <w:sz w:val="24"/>
                <w:szCs w:val="24"/>
              </w:rPr>
            </w:pPr>
          </w:p>
        </w:tc>
        <w:tc>
          <w:tcPr>
            <w:tcW w:w="1418" w:type="dxa"/>
          </w:tcPr>
          <w:p w14:paraId="481F6656" w14:textId="77777777" w:rsidR="007965B9" w:rsidRPr="00097066" w:rsidRDefault="007965B9" w:rsidP="00097066">
            <w:pPr>
              <w:autoSpaceDE w:val="0"/>
              <w:autoSpaceDN w:val="0"/>
              <w:adjustRightInd w:val="0"/>
              <w:ind w:left="0" w:firstLine="0"/>
              <w:jc w:val="center"/>
              <w:rPr>
                <w:rFonts w:eastAsiaTheme="minorHAnsi"/>
                <w:sz w:val="24"/>
                <w:szCs w:val="24"/>
              </w:rPr>
            </w:pPr>
            <w:r w:rsidRPr="00097066">
              <w:rPr>
                <w:rFonts w:eastAsiaTheme="minorHAnsi"/>
                <w:sz w:val="24"/>
                <w:szCs w:val="24"/>
              </w:rPr>
              <w:t>Residual</w:t>
            </w:r>
          </w:p>
        </w:tc>
        <w:tc>
          <w:tcPr>
            <w:tcW w:w="1417" w:type="dxa"/>
          </w:tcPr>
          <w:p w14:paraId="77A5CAB4" w14:textId="77777777" w:rsidR="007965B9" w:rsidRPr="00097066" w:rsidRDefault="007965B9" w:rsidP="00097066">
            <w:pPr>
              <w:autoSpaceDE w:val="0"/>
              <w:autoSpaceDN w:val="0"/>
              <w:adjustRightInd w:val="0"/>
              <w:ind w:left="0" w:firstLine="0"/>
              <w:jc w:val="center"/>
              <w:rPr>
                <w:rFonts w:eastAsiaTheme="minorHAnsi"/>
                <w:sz w:val="24"/>
                <w:szCs w:val="24"/>
              </w:rPr>
            </w:pPr>
            <w:r w:rsidRPr="00097066">
              <w:rPr>
                <w:rFonts w:eastAsiaTheme="minorHAnsi"/>
                <w:sz w:val="24"/>
                <w:szCs w:val="24"/>
              </w:rPr>
              <w:t>2,443</w:t>
            </w:r>
          </w:p>
        </w:tc>
        <w:tc>
          <w:tcPr>
            <w:tcW w:w="993" w:type="dxa"/>
          </w:tcPr>
          <w:p w14:paraId="2E5E56F3" w14:textId="77777777" w:rsidR="007965B9" w:rsidRPr="00097066" w:rsidRDefault="007965B9" w:rsidP="00097066">
            <w:pPr>
              <w:autoSpaceDE w:val="0"/>
              <w:autoSpaceDN w:val="0"/>
              <w:adjustRightInd w:val="0"/>
              <w:ind w:left="0" w:firstLine="0"/>
              <w:jc w:val="center"/>
              <w:rPr>
                <w:rFonts w:eastAsiaTheme="minorHAnsi"/>
                <w:sz w:val="24"/>
                <w:szCs w:val="24"/>
              </w:rPr>
            </w:pPr>
            <w:r w:rsidRPr="00097066">
              <w:rPr>
                <w:rFonts w:eastAsiaTheme="minorHAnsi"/>
                <w:sz w:val="24"/>
                <w:szCs w:val="24"/>
              </w:rPr>
              <w:t>28</w:t>
            </w:r>
          </w:p>
        </w:tc>
        <w:tc>
          <w:tcPr>
            <w:tcW w:w="1559" w:type="dxa"/>
          </w:tcPr>
          <w:p w14:paraId="743A6FFB" w14:textId="77777777" w:rsidR="007965B9" w:rsidRPr="00097066" w:rsidRDefault="007965B9" w:rsidP="00097066">
            <w:pPr>
              <w:autoSpaceDE w:val="0"/>
              <w:autoSpaceDN w:val="0"/>
              <w:adjustRightInd w:val="0"/>
              <w:ind w:left="0" w:firstLine="0"/>
              <w:jc w:val="center"/>
              <w:rPr>
                <w:rFonts w:eastAsiaTheme="minorHAnsi"/>
                <w:sz w:val="24"/>
                <w:szCs w:val="24"/>
              </w:rPr>
            </w:pPr>
            <w:r w:rsidRPr="00097066">
              <w:rPr>
                <w:rFonts w:eastAsiaTheme="minorHAnsi"/>
                <w:sz w:val="24"/>
                <w:szCs w:val="24"/>
              </w:rPr>
              <w:t>,087</w:t>
            </w:r>
          </w:p>
        </w:tc>
        <w:tc>
          <w:tcPr>
            <w:tcW w:w="850" w:type="dxa"/>
          </w:tcPr>
          <w:p w14:paraId="00E6E9DF" w14:textId="77777777" w:rsidR="007965B9" w:rsidRPr="00097066" w:rsidRDefault="007965B9" w:rsidP="00097066">
            <w:pPr>
              <w:autoSpaceDE w:val="0"/>
              <w:autoSpaceDN w:val="0"/>
              <w:adjustRightInd w:val="0"/>
              <w:ind w:left="0"/>
              <w:jc w:val="center"/>
              <w:rPr>
                <w:rFonts w:eastAsiaTheme="minorHAnsi"/>
                <w:sz w:val="24"/>
                <w:szCs w:val="24"/>
              </w:rPr>
            </w:pPr>
          </w:p>
        </w:tc>
        <w:tc>
          <w:tcPr>
            <w:tcW w:w="851" w:type="dxa"/>
          </w:tcPr>
          <w:p w14:paraId="35A6C2E4" w14:textId="77777777" w:rsidR="007965B9" w:rsidRPr="00097066" w:rsidRDefault="007965B9" w:rsidP="00097066">
            <w:pPr>
              <w:autoSpaceDE w:val="0"/>
              <w:autoSpaceDN w:val="0"/>
              <w:adjustRightInd w:val="0"/>
              <w:ind w:left="0"/>
              <w:jc w:val="center"/>
              <w:rPr>
                <w:rFonts w:eastAsiaTheme="minorHAnsi"/>
                <w:sz w:val="24"/>
                <w:szCs w:val="24"/>
              </w:rPr>
            </w:pPr>
          </w:p>
        </w:tc>
      </w:tr>
      <w:tr w:rsidR="007965B9" w:rsidRPr="00097066" w14:paraId="43A3390D" w14:textId="77777777" w:rsidTr="007E3264">
        <w:trPr>
          <w:jc w:val="center"/>
        </w:trPr>
        <w:tc>
          <w:tcPr>
            <w:tcW w:w="515" w:type="dxa"/>
            <w:vMerge/>
          </w:tcPr>
          <w:p w14:paraId="6D270F5B" w14:textId="77777777" w:rsidR="007965B9" w:rsidRPr="00097066" w:rsidRDefault="007965B9" w:rsidP="00097066">
            <w:pPr>
              <w:autoSpaceDE w:val="0"/>
              <w:autoSpaceDN w:val="0"/>
              <w:adjustRightInd w:val="0"/>
              <w:ind w:left="0"/>
              <w:jc w:val="center"/>
              <w:rPr>
                <w:rFonts w:eastAsiaTheme="minorHAnsi"/>
                <w:sz w:val="24"/>
                <w:szCs w:val="24"/>
              </w:rPr>
            </w:pPr>
          </w:p>
        </w:tc>
        <w:tc>
          <w:tcPr>
            <w:tcW w:w="1418" w:type="dxa"/>
          </w:tcPr>
          <w:p w14:paraId="0E84FFA3" w14:textId="77777777" w:rsidR="007965B9" w:rsidRPr="00097066" w:rsidRDefault="007965B9" w:rsidP="00097066">
            <w:pPr>
              <w:autoSpaceDE w:val="0"/>
              <w:autoSpaceDN w:val="0"/>
              <w:adjustRightInd w:val="0"/>
              <w:ind w:left="0" w:firstLine="0"/>
              <w:jc w:val="center"/>
              <w:rPr>
                <w:rFonts w:eastAsiaTheme="minorHAnsi"/>
                <w:sz w:val="24"/>
                <w:szCs w:val="24"/>
              </w:rPr>
            </w:pPr>
            <w:r w:rsidRPr="00097066">
              <w:rPr>
                <w:rFonts w:eastAsiaTheme="minorHAnsi"/>
                <w:sz w:val="24"/>
                <w:szCs w:val="24"/>
              </w:rPr>
              <w:t>Total</w:t>
            </w:r>
          </w:p>
        </w:tc>
        <w:tc>
          <w:tcPr>
            <w:tcW w:w="1417" w:type="dxa"/>
          </w:tcPr>
          <w:p w14:paraId="1F4FC125" w14:textId="77777777" w:rsidR="007965B9" w:rsidRPr="00097066" w:rsidRDefault="007965B9" w:rsidP="00097066">
            <w:pPr>
              <w:autoSpaceDE w:val="0"/>
              <w:autoSpaceDN w:val="0"/>
              <w:adjustRightInd w:val="0"/>
              <w:ind w:left="0" w:firstLine="0"/>
              <w:jc w:val="center"/>
              <w:rPr>
                <w:rFonts w:eastAsiaTheme="minorHAnsi"/>
                <w:sz w:val="24"/>
                <w:szCs w:val="24"/>
              </w:rPr>
            </w:pPr>
            <w:r w:rsidRPr="00097066">
              <w:rPr>
                <w:rFonts w:eastAsiaTheme="minorHAnsi"/>
                <w:sz w:val="24"/>
                <w:szCs w:val="24"/>
              </w:rPr>
              <w:t>3,562</w:t>
            </w:r>
          </w:p>
        </w:tc>
        <w:tc>
          <w:tcPr>
            <w:tcW w:w="993" w:type="dxa"/>
          </w:tcPr>
          <w:p w14:paraId="51B1735E" w14:textId="77777777" w:rsidR="007965B9" w:rsidRPr="00097066" w:rsidRDefault="007965B9" w:rsidP="00097066">
            <w:pPr>
              <w:autoSpaceDE w:val="0"/>
              <w:autoSpaceDN w:val="0"/>
              <w:adjustRightInd w:val="0"/>
              <w:ind w:left="0" w:firstLine="0"/>
              <w:jc w:val="center"/>
              <w:rPr>
                <w:rFonts w:eastAsiaTheme="minorHAnsi"/>
                <w:sz w:val="24"/>
                <w:szCs w:val="24"/>
              </w:rPr>
            </w:pPr>
            <w:r w:rsidRPr="00097066">
              <w:rPr>
                <w:rFonts w:eastAsiaTheme="minorHAnsi"/>
                <w:sz w:val="24"/>
                <w:szCs w:val="24"/>
              </w:rPr>
              <w:t>32</w:t>
            </w:r>
          </w:p>
        </w:tc>
        <w:tc>
          <w:tcPr>
            <w:tcW w:w="1559" w:type="dxa"/>
          </w:tcPr>
          <w:p w14:paraId="1FA3CF91" w14:textId="77777777" w:rsidR="007965B9" w:rsidRPr="00097066" w:rsidRDefault="007965B9" w:rsidP="00097066">
            <w:pPr>
              <w:autoSpaceDE w:val="0"/>
              <w:autoSpaceDN w:val="0"/>
              <w:adjustRightInd w:val="0"/>
              <w:ind w:left="0"/>
              <w:jc w:val="center"/>
              <w:rPr>
                <w:rFonts w:eastAsiaTheme="minorHAnsi"/>
                <w:sz w:val="24"/>
                <w:szCs w:val="24"/>
              </w:rPr>
            </w:pPr>
          </w:p>
        </w:tc>
        <w:tc>
          <w:tcPr>
            <w:tcW w:w="850" w:type="dxa"/>
          </w:tcPr>
          <w:p w14:paraId="6A5EAF29" w14:textId="77777777" w:rsidR="007965B9" w:rsidRPr="00097066" w:rsidRDefault="007965B9" w:rsidP="00097066">
            <w:pPr>
              <w:autoSpaceDE w:val="0"/>
              <w:autoSpaceDN w:val="0"/>
              <w:adjustRightInd w:val="0"/>
              <w:ind w:left="0"/>
              <w:jc w:val="center"/>
              <w:rPr>
                <w:rFonts w:eastAsiaTheme="minorHAnsi"/>
                <w:sz w:val="24"/>
                <w:szCs w:val="24"/>
              </w:rPr>
            </w:pPr>
          </w:p>
        </w:tc>
        <w:tc>
          <w:tcPr>
            <w:tcW w:w="851" w:type="dxa"/>
          </w:tcPr>
          <w:p w14:paraId="4D72AEA8" w14:textId="77777777" w:rsidR="007965B9" w:rsidRPr="00097066" w:rsidRDefault="007965B9" w:rsidP="00097066">
            <w:pPr>
              <w:autoSpaceDE w:val="0"/>
              <w:autoSpaceDN w:val="0"/>
              <w:adjustRightInd w:val="0"/>
              <w:ind w:left="0"/>
              <w:jc w:val="center"/>
              <w:rPr>
                <w:rFonts w:eastAsiaTheme="minorHAnsi"/>
                <w:sz w:val="24"/>
                <w:szCs w:val="24"/>
              </w:rPr>
            </w:pPr>
          </w:p>
        </w:tc>
      </w:tr>
      <w:tr w:rsidR="007965B9" w:rsidRPr="00097066" w14:paraId="4249E28A" w14:textId="77777777" w:rsidTr="007E3264">
        <w:trPr>
          <w:jc w:val="center"/>
        </w:trPr>
        <w:tc>
          <w:tcPr>
            <w:tcW w:w="7603" w:type="dxa"/>
            <w:gridSpan w:val="7"/>
          </w:tcPr>
          <w:p w14:paraId="67D06F47" w14:textId="77777777" w:rsidR="007965B9" w:rsidRPr="00097066" w:rsidRDefault="007965B9" w:rsidP="00097066">
            <w:pPr>
              <w:autoSpaceDE w:val="0"/>
              <w:autoSpaceDN w:val="0"/>
              <w:adjustRightInd w:val="0"/>
              <w:ind w:left="0" w:firstLine="0"/>
              <w:jc w:val="center"/>
              <w:rPr>
                <w:rFonts w:eastAsiaTheme="minorHAnsi"/>
                <w:sz w:val="24"/>
                <w:szCs w:val="24"/>
              </w:rPr>
            </w:pPr>
            <w:r w:rsidRPr="00097066">
              <w:rPr>
                <w:rFonts w:eastAsiaTheme="minorHAnsi"/>
                <w:sz w:val="24"/>
                <w:szCs w:val="24"/>
              </w:rPr>
              <w:t>a. Dependent Variable: LDR</w:t>
            </w:r>
          </w:p>
        </w:tc>
      </w:tr>
      <w:tr w:rsidR="007965B9" w:rsidRPr="00097066" w14:paraId="276BD1F1" w14:textId="77777777" w:rsidTr="007E3264">
        <w:trPr>
          <w:jc w:val="center"/>
        </w:trPr>
        <w:tc>
          <w:tcPr>
            <w:tcW w:w="7603" w:type="dxa"/>
            <w:gridSpan w:val="7"/>
          </w:tcPr>
          <w:p w14:paraId="2784A99E" w14:textId="77777777" w:rsidR="007965B9" w:rsidRPr="00097066" w:rsidRDefault="007965B9" w:rsidP="00097066">
            <w:pPr>
              <w:autoSpaceDE w:val="0"/>
              <w:autoSpaceDN w:val="0"/>
              <w:adjustRightInd w:val="0"/>
              <w:ind w:left="0" w:firstLine="0"/>
              <w:jc w:val="center"/>
              <w:rPr>
                <w:rFonts w:eastAsiaTheme="minorHAnsi"/>
                <w:sz w:val="24"/>
                <w:szCs w:val="24"/>
              </w:rPr>
            </w:pPr>
            <w:r w:rsidRPr="00097066">
              <w:rPr>
                <w:rFonts w:eastAsiaTheme="minorHAnsi"/>
                <w:sz w:val="24"/>
                <w:szCs w:val="24"/>
              </w:rPr>
              <w:t>b. Predictors: (Constant), NPL, komisaris independen, CAPITAL, ROA</w:t>
            </w:r>
          </w:p>
        </w:tc>
      </w:tr>
    </w:tbl>
    <w:bookmarkEnd w:id="9"/>
    <w:p w14:paraId="049D7848" w14:textId="2D7D0AED" w:rsidR="00DC32DF" w:rsidRPr="00097066" w:rsidRDefault="00DC32DF" w:rsidP="00097066">
      <w:pPr>
        <w:ind w:left="0" w:firstLine="0"/>
        <w:jc w:val="center"/>
        <w:rPr>
          <w:sz w:val="24"/>
          <w:szCs w:val="24"/>
        </w:rPr>
      </w:pPr>
      <w:r w:rsidRPr="00097066">
        <w:rPr>
          <w:sz w:val="24"/>
          <w:szCs w:val="24"/>
          <w:lang w:val="id"/>
        </w:rPr>
        <w:t xml:space="preserve">Sumber : </w:t>
      </w:r>
      <w:r w:rsidRPr="00097066">
        <w:rPr>
          <w:i/>
          <w:sz w:val="24"/>
          <w:szCs w:val="24"/>
          <w:lang w:val="id"/>
        </w:rPr>
        <w:t>Output</w:t>
      </w:r>
      <w:r w:rsidRPr="00097066">
        <w:rPr>
          <w:sz w:val="24"/>
          <w:szCs w:val="24"/>
          <w:lang w:val="id"/>
        </w:rPr>
        <w:t xml:space="preserve"> SPSS versi 26</w:t>
      </w:r>
      <w:r w:rsidRPr="00097066">
        <w:rPr>
          <w:sz w:val="24"/>
          <w:szCs w:val="24"/>
        </w:rPr>
        <w:t>, 2023</w:t>
      </w:r>
    </w:p>
    <w:p w14:paraId="281C072C" w14:textId="536B400A" w:rsidR="00DC32DF" w:rsidRPr="00097066" w:rsidRDefault="007965B9" w:rsidP="00097066">
      <w:pPr>
        <w:ind w:left="0" w:firstLine="709"/>
        <w:rPr>
          <w:sz w:val="24"/>
          <w:szCs w:val="24"/>
        </w:rPr>
      </w:pPr>
      <w:bookmarkStart w:id="10" w:name="_Hlk147176924"/>
      <w:r w:rsidRPr="00097066">
        <w:rPr>
          <w:sz w:val="24"/>
          <w:szCs w:val="24"/>
          <w:lang w:val="en-US"/>
        </w:rPr>
        <w:t xml:space="preserve">Berdasarkan hasil perhitungan pada SPSS dalam tabel </w:t>
      </w:r>
      <w:r w:rsidRPr="00097066">
        <w:rPr>
          <w:sz w:val="24"/>
          <w:szCs w:val="24"/>
        </w:rPr>
        <w:t>6</w:t>
      </w:r>
      <w:r w:rsidRPr="00097066">
        <w:rPr>
          <w:sz w:val="24"/>
          <w:szCs w:val="24"/>
          <w:lang w:val="en-US"/>
        </w:rPr>
        <w:t xml:space="preserve"> diperoleh nilai statisti</w:t>
      </w:r>
      <w:r w:rsidRPr="00097066">
        <w:rPr>
          <w:sz w:val="24"/>
          <w:szCs w:val="24"/>
        </w:rPr>
        <w:t>k</w:t>
      </w:r>
      <w:r w:rsidRPr="00097066">
        <w:rPr>
          <w:sz w:val="24"/>
          <w:szCs w:val="24"/>
          <w:lang w:val="en-US"/>
        </w:rPr>
        <w:t xml:space="preserve"> F</w:t>
      </w:r>
      <w:r w:rsidRPr="00097066">
        <w:rPr>
          <w:sz w:val="24"/>
          <w:szCs w:val="24"/>
          <w:vertAlign w:val="subscript"/>
          <w:lang w:val="en-US"/>
        </w:rPr>
        <w:t>hitung</w:t>
      </w:r>
      <w:r w:rsidRPr="00097066">
        <w:rPr>
          <w:sz w:val="24"/>
          <w:szCs w:val="24"/>
          <w:lang w:val="en-US"/>
        </w:rPr>
        <w:t xml:space="preserve"> sebesar 3,206 lebih kecil dari F</w:t>
      </w:r>
      <w:r w:rsidRPr="00097066">
        <w:rPr>
          <w:sz w:val="24"/>
          <w:szCs w:val="24"/>
          <w:vertAlign w:val="subscript"/>
          <w:lang w:val="en-US"/>
        </w:rPr>
        <w:t>tabel</w:t>
      </w:r>
      <w:r w:rsidRPr="00097066">
        <w:rPr>
          <w:sz w:val="24"/>
          <w:szCs w:val="24"/>
          <w:lang w:val="en-US"/>
        </w:rPr>
        <w:t xml:space="preserve"> (</w:t>
      </w:r>
      <w:r w:rsidRPr="00097066">
        <w:rPr>
          <w:sz w:val="24"/>
          <w:szCs w:val="24"/>
        </w:rPr>
        <w:t>3,206</w:t>
      </w:r>
      <w:r w:rsidRPr="00097066">
        <w:rPr>
          <w:sz w:val="24"/>
          <w:szCs w:val="24"/>
          <w:lang w:val="en-US"/>
        </w:rPr>
        <w:t xml:space="preserve">&lt;4,757) dengan nilai signifikan adalah 0,028 yang berarti lebih kecil dari 0,05. Hal ini menunjukkan bahwa nilai signifikan uji F variabel </w:t>
      </w:r>
      <w:r w:rsidRPr="00097066">
        <w:rPr>
          <w:i/>
          <w:sz w:val="24"/>
          <w:szCs w:val="24"/>
          <w:lang w:val="en-US"/>
        </w:rPr>
        <w:t>risk profile</w:t>
      </w:r>
      <w:r w:rsidRPr="00097066">
        <w:rPr>
          <w:sz w:val="24"/>
          <w:szCs w:val="24"/>
          <w:lang w:val="en-US"/>
        </w:rPr>
        <w:t xml:space="preserve"> (X1), </w:t>
      </w:r>
      <w:r w:rsidRPr="00097066">
        <w:rPr>
          <w:i/>
          <w:sz w:val="24"/>
          <w:szCs w:val="24"/>
          <w:lang w:val="en-US"/>
        </w:rPr>
        <w:t>good corporate governance</w:t>
      </w:r>
      <w:r w:rsidRPr="00097066">
        <w:rPr>
          <w:sz w:val="24"/>
          <w:szCs w:val="24"/>
          <w:lang w:val="en-US"/>
        </w:rPr>
        <w:t xml:space="preserve"> (X2), </w:t>
      </w:r>
      <w:r w:rsidRPr="00097066">
        <w:rPr>
          <w:i/>
          <w:sz w:val="24"/>
          <w:szCs w:val="24"/>
          <w:lang w:val="en-US"/>
        </w:rPr>
        <w:t xml:space="preserve">earning </w:t>
      </w:r>
      <w:r w:rsidRPr="00097066">
        <w:rPr>
          <w:sz w:val="24"/>
          <w:szCs w:val="24"/>
          <w:lang w:val="en-US"/>
        </w:rPr>
        <w:t xml:space="preserve">(X3), dan </w:t>
      </w:r>
      <w:r w:rsidRPr="00097066">
        <w:rPr>
          <w:i/>
          <w:sz w:val="24"/>
          <w:szCs w:val="24"/>
          <w:lang w:val="en-US"/>
        </w:rPr>
        <w:t xml:space="preserve">capital </w:t>
      </w:r>
      <w:r w:rsidRPr="00097066">
        <w:rPr>
          <w:sz w:val="24"/>
          <w:szCs w:val="24"/>
          <w:lang w:val="en-US"/>
        </w:rPr>
        <w:t xml:space="preserve">(X4) &lt; 0,05. Hasil dari pengujian simultan ini adalah </w:t>
      </w:r>
      <w:r w:rsidRPr="00097066">
        <w:rPr>
          <w:i/>
          <w:sz w:val="24"/>
          <w:szCs w:val="24"/>
          <w:lang w:val="en-US"/>
        </w:rPr>
        <w:t>risk profile</w:t>
      </w:r>
      <w:r w:rsidRPr="00097066">
        <w:rPr>
          <w:sz w:val="24"/>
          <w:szCs w:val="24"/>
          <w:lang w:val="en-US"/>
        </w:rPr>
        <w:t xml:space="preserve"> (X1), </w:t>
      </w:r>
      <w:r w:rsidRPr="00097066">
        <w:rPr>
          <w:i/>
          <w:sz w:val="24"/>
          <w:szCs w:val="24"/>
          <w:lang w:val="en-US"/>
        </w:rPr>
        <w:t>good corporate governance</w:t>
      </w:r>
      <w:r w:rsidRPr="00097066">
        <w:rPr>
          <w:sz w:val="24"/>
          <w:szCs w:val="24"/>
          <w:lang w:val="en-US"/>
        </w:rPr>
        <w:t xml:space="preserve"> (X2), </w:t>
      </w:r>
      <w:r w:rsidRPr="00097066">
        <w:rPr>
          <w:i/>
          <w:sz w:val="24"/>
          <w:szCs w:val="24"/>
          <w:lang w:val="en-US"/>
        </w:rPr>
        <w:t xml:space="preserve">earning </w:t>
      </w:r>
      <w:r w:rsidRPr="00097066">
        <w:rPr>
          <w:sz w:val="24"/>
          <w:szCs w:val="24"/>
          <w:lang w:val="en-US"/>
        </w:rPr>
        <w:t xml:space="preserve">(X3), dan </w:t>
      </w:r>
      <w:r w:rsidRPr="00097066">
        <w:rPr>
          <w:i/>
          <w:sz w:val="24"/>
          <w:szCs w:val="24"/>
          <w:lang w:val="en-US"/>
        </w:rPr>
        <w:t xml:space="preserve">capital </w:t>
      </w:r>
      <w:r w:rsidRPr="00097066">
        <w:rPr>
          <w:sz w:val="24"/>
          <w:szCs w:val="24"/>
          <w:lang w:val="en-US"/>
        </w:rPr>
        <w:t>(X4) berpengaruh signifikan terhadap tingkat kesehatan bank.</w:t>
      </w:r>
      <w:bookmarkEnd w:id="10"/>
    </w:p>
    <w:p w14:paraId="53C0989F" w14:textId="77777777" w:rsidR="00500ED7" w:rsidRPr="00097066" w:rsidRDefault="00500ED7" w:rsidP="00097066">
      <w:pPr>
        <w:ind w:left="0" w:firstLine="0"/>
        <w:rPr>
          <w:i/>
          <w:sz w:val="24"/>
          <w:szCs w:val="24"/>
        </w:rPr>
      </w:pPr>
    </w:p>
    <w:p w14:paraId="651FBA32" w14:textId="2A9C15DA" w:rsidR="007965B9" w:rsidRPr="00097066" w:rsidRDefault="00E23FD6" w:rsidP="00097066">
      <w:pPr>
        <w:ind w:left="0" w:firstLine="0"/>
        <w:rPr>
          <w:b/>
          <w:sz w:val="24"/>
          <w:szCs w:val="24"/>
          <w:lang w:val="en-US"/>
        </w:rPr>
      </w:pPr>
      <w:r w:rsidRPr="00097066">
        <w:rPr>
          <w:b/>
          <w:sz w:val="24"/>
          <w:szCs w:val="24"/>
          <w:lang w:val="en-US"/>
        </w:rPr>
        <w:t>KESIMPULAN</w:t>
      </w:r>
    </w:p>
    <w:p w14:paraId="471AAE02" w14:textId="3A82919F" w:rsidR="00DC32DF" w:rsidRPr="00097066" w:rsidRDefault="007965B9" w:rsidP="00097066">
      <w:pPr>
        <w:ind w:left="0" w:firstLine="709"/>
        <w:rPr>
          <w:sz w:val="24"/>
          <w:szCs w:val="24"/>
          <w:lang w:val="id"/>
        </w:rPr>
      </w:pPr>
      <w:r w:rsidRPr="00097066">
        <w:rPr>
          <w:sz w:val="24"/>
          <w:szCs w:val="24"/>
        </w:rPr>
        <w:t xml:space="preserve">Berdasarkan hasil penelitian yang telah dilakukan untuk mengetahui pengaruh </w:t>
      </w:r>
      <w:r w:rsidRPr="00097066">
        <w:rPr>
          <w:i/>
          <w:iCs/>
          <w:sz w:val="24"/>
          <w:szCs w:val="24"/>
        </w:rPr>
        <w:t>risk profile, good corporate governance, earning,</w:t>
      </w:r>
      <w:r w:rsidRPr="00097066">
        <w:rPr>
          <w:sz w:val="24"/>
          <w:szCs w:val="24"/>
        </w:rPr>
        <w:t xml:space="preserve"> dan </w:t>
      </w:r>
      <w:r w:rsidRPr="00097066">
        <w:rPr>
          <w:i/>
          <w:iCs/>
          <w:sz w:val="24"/>
          <w:szCs w:val="24"/>
        </w:rPr>
        <w:t xml:space="preserve">capital </w:t>
      </w:r>
      <w:r w:rsidRPr="00097066">
        <w:rPr>
          <w:sz w:val="24"/>
          <w:szCs w:val="24"/>
        </w:rPr>
        <w:t xml:space="preserve">terhadap </w:t>
      </w:r>
      <w:r w:rsidRPr="00097066">
        <w:rPr>
          <w:sz w:val="24"/>
          <w:szCs w:val="24"/>
        </w:rPr>
        <w:lastRenderedPageBreak/>
        <w:t>tingkat kesehatan bank pada perusahaan sektor perbankan konvesional yang terdaftar di Bursa Efek Indonesia Periode 2019-2021, maka kesimpulan yang dapat diambil adalah sebagai berikut :</w:t>
      </w:r>
    </w:p>
    <w:p w14:paraId="65926674" w14:textId="3670CAB9" w:rsidR="00DC32DF" w:rsidRPr="00097066" w:rsidRDefault="007965B9" w:rsidP="00097066">
      <w:pPr>
        <w:numPr>
          <w:ilvl w:val="0"/>
          <w:numId w:val="7"/>
        </w:numPr>
        <w:ind w:left="284" w:hanging="284"/>
        <w:rPr>
          <w:sz w:val="24"/>
          <w:szCs w:val="24"/>
          <w:lang w:val="id"/>
        </w:rPr>
      </w:pPr>
      <w:r w:rsidRPr="00097066">
        <w:rPr>
          <w:sz w:val="24"/>
          <w:szCs w:val="24"/>
          <w:lang w:val="en-US"/>
        </w:rPr>
        <w:t>Berdasarkan hasil t</w:t>
      </w:r>
      <w:r w:rsidRPr="00097066">
        <w:rPr>
          <w:sz w:val="24"/>
          <w:szCs w:val="24"/>
          <w:vertAlign w:val="subscript"/>
          <w:lang w:val="en-US"/>
        </w:rPr>
        <w:t xml:space="preserve">hitung </w:t>
      </w:r>
      <w:r w:rsidRPr="00097066">
        <w:rPr>
          <w:sz w:val="24"/>
          <w:szCs w:val="24"/>
          <w:lang w:val="en-US"/>
        </w:rPr>
        <w:t>= -2,053 dan t</w:t>
      </w:r>
      <w:r w:rsidRPr="00097066">
        <w:rPr>
          <w:sz w:val="24"/>
          <w:szCs w:val="24"/>
          <w:vertAlign w:val="subscript"/>
          <w:lang w:val="en-US"/>
        </w:rPr>
        <w:t>tabel</w:t>
      </w:r>
      <w:r w:rsidRPr="00097066">
        <w:rPr>
          <w:sz w:val="24"/>
          <w:szCs w:val="24"/>
          <w:lang w:val="en-US"/>
        </w:rPr>
        <w:t xml:space="preserve"> = DF = N-K-1 (33-4-1=28) dengan taraf signifikan 0,05 hasil dari t</w:t>
      </w:r>
      <w:r w:rsidRPr="00097066">
        <w:rPr>
          <w:sz w:val="24"/>
          <w:szCs w:val="24"/>
          <w:vertAlign w:val="subscript"/>
          <w:lang w:val="en-US"/>
        </w:rPr>
        <w:t>tabel</w:t>
      </w:r>
      <w:r w:rsidRPr="00097066">
        <w:rPr>
          <w:sz w:val="24"/>
          <w:szCs w:val="24"/>
          <w:lang w:val="en-US"/>
        </w:rPr>
        <w:t xml:space="preserve"> adalah 1,895 maka hasil t</w:t>
      </w:r>
      <w:r w:rsidRPr="00097066">
        <w:rPr>
          <w:sz w:val="24"/>
          <w:szCs w:val="24"/>
          <w:vertAlign w:val="subscript"/>
          <w:lang w:val="en-US"/>
        </w:rPr>
        <w:t>hitung</w:t>
      </w:r>
      <w:r w:rsidRPr="00097066">
        <w:rPr>
          <w:sz w:val="24"/>
          <w:szCs w:val="24"/>
          <w:lang w:val="en-US"/>
        </w:rPr>
        <w:t xml:space="preserve"> lebih kecil dari t</w:t>
      </w:r>
      <w:r w:rsidRPr="00097066">
        <w:rPr>
          <w:sz w:val="24"/>
          <w:szCs w:val="24"/>
          <w:vertAlign w:val="subscript"/>
          <w:lang w:val="en-US"/>
        </w:rPr>
        <w:t xml:space="preserve">tabel </w:t>
      </w:r>
      <w:r w:rsidRPr="00097066">
        <w:rPr>
          <w:sz w:val="24"/>
          <w:szCs w:val="24"/>
          <w:lang w:val="en-US"/>
        </w:rPr>
        <w:t>(-2,053&lt;1,895). Nilai signifikan menunjukkan lebih besar dari 0,05 yaitu 0,05  atau (0,05</w:t>
      </w:r>
      <m:oMath>
        <m:r>
          <w:rPr>
            <w:rFonts w:ascii="Cambria Math" w:hAnsi="Cambria Math"/>
            <w:sz w:val="24"/>
            <w:szCs w:val="24"/>
            <w:lang w:val="en-US"/>
          </w:rPr>
          <m:t>≤</m:t>
        </m:r>
      </m:oMath>
      <w:r w:rsidRPr="00097066">
        <w:rPr>
          <w:sz w:val="24"/>
          <w:szCs w:val="24"/>
          <w:lang w:val="en-US"/>
        </w:rPr>
        <w:t xml:space="preserve">0,05). Hal ini menunjukkan bahwa variabel </w:t>
      </w:r>
      <w:r w:rsidRPr="00097066">
        <w:rPr>
          <w:i/>
          <w:sz w:val="24"/>
          <w:szCs w:val="24"/>
          <w:lang w:val="en-US"/>
        </w:rPr>
        <w:t xml:space="preserve">risk profile </w:t>
      </w:r>
      <w:r w:rsidRPr="00097066">
        <w:rPr>
          <w:sz w:val="24"/>
          <w:szCs w:val="24"/>
          <w:lang w:val="en-US"/>
        </w:rPr>
        <w:t>secara parsial berpengaruh negatif dan signifikan terhadap tingkat kesehatan bank pada perusahaan sektor perbankan yang terdaftar di Bursa Efek Indonesia pada tahun 2019-2021.</w:t>
      </w:r>
    </w:p>
    <w:p w14:paraId="3C716747" w14:textId="180FB854" w:rsidR="00DC32DF" w:rsidRPr="00097066" w:rsidRDefault="007965B9" w:rsidP="00097066">
      <w:pPr>
        <w:numPr>
          <w:ilvl w:val="0"/>
          <w:numId w:val="7"/>
        </w:numPr>
        <w:ind w:left="284" w:hanging="284"/>
        <w:rPr>
          <w:sz w:val="24"/>
          <w:szCs w:val="24"/>
          <w:lang w:val="id"/>
        </w:rPr>
      </w:pPr>
      <w:r w:rsidRPr="00097066">
        <w:rPr>
          <w:sz w:val="24"/>
          <w:szCs w:val="24"/>
          <w:lang w:val="en-US"/>
        </w:rPr>
        <w:t>Berdasarkan hasil t</w:t>
      </w:r>
      <w:r w:rsidRPr="00097066">
        <w:rPr>
          <w:sz w:val="24"/>
          <w:szCs w:val="24"/>
          <w:vertAlign w:val="subscript"/>
          <w:lang w:val="en-US"/>
        </w:rPr>
        <w:t xml:space="preserve">hitung </w:t>
      </w:r>
      <w:r w:rsidRPr="00097066">
        <w:rPr>
          <w:sz w:val="24"/>
          <w:szCs w:val="24"/>
          <w:lang w:val="en-US"/>
        </w:rPr>
        <w:t>= -</w:t>
      </w:r>
      <w:r w:rsidRPr="00097066">
        <w:rPr>
          <w:sz w:val="24"/>
          <w:szCs w:val="24"/>
        </w:rPr>
        <w:t>1,697</w:t>
      </w:r>
      <w:r w:rsidRPr="00097066">
        <w:rPr>
          <w:sz w:val="24"/>
          <w:szCs w:val="24"/>
          <w:lang w:val="en-US"/>
        </w:rPr>
        <w:t xml:space="preserve"> dan t</w:t>
      </w:r>
      <w:r w:rsidRPr="00097066">
        <w:rPr>
          <w:sz w:val="24"/>
          <w:szCs w:val="24"/>
          <w:vertAlign w:val="subscript"/>
          <w:lang w:val="en-US"/>
        </w:rPr>
        <w:t>tabel</w:t>
      </w:r>
      <w:r w:rsidRPr="00097066">
        <w:rPr>
          <w:sz w:val="24"/>
          <w:szCs w:val="24"/>
          <w:lang w:val="en-US"/>
        </w:rPr>
        <w:t xml:space="preserve"> = DF = N-K-1 (33-4-1=28) dengan taraf signifikan 0,05 hasil dari t</w:t>
      </w:r>
      <w:r w:rsidRPr="00097066">
        <w:rPr>
          <w:sz w:val="24"/>
          <w:szCs w:val="24"/>
          <w:vertAlign w:val="subscript"/>
          <w:lang w:val="en-US"/>
        </w:rPr>
        <w:t>tabel</w:t>
      </w:r>
      <w:r w:rsidRPr="00097066">
        <w:rPr>
          <w:sz w:val="24"/>
          <w:szCs w:val="24"/>
          <w:lang w:val="en-US"/>
        </w:rPr>
        <w:t xml:space="preserve"> adalah 1,895 maka hasil t</w:t>
      </w:r>
      <w:r w:rsidRPr="00097066">
        <w:rPr>
          <w:sz w:val="24"/>
          <w:szCs w:val="24"/>
          <w:vertAlign w:val="subscript"/>
          <w:lang w:val="en-US"/>
        </w:rPr>
        <w:t>hitung</w:t>
      </w:r>
      <w:r w:rsidRPr="00097066">
        <w:rPr>
          <w:sz w:val="24"/>
          <w:szCs w:val="24"/>
          <w:lang w:val="en-US"/>
        </w:rPr>
        <w:t xml:space="preserve"> lebih kecil dari t</w:t>
      </w:r>
      <w:r w:rsidRPr="00097066">
        <w:rPr>
          <w:sz w:val="24"/>
          <w:szCs w:val="24"/>
          <w:vertAlign w:val="subscript"/>
          <w:lang w:val="en-US"/>
        </w:rPr>
        <w:t xml:space="preserve">tabel </w:t>
      </w:r>
      <w:r w:rsidRPr="00097066">
        <w:rPr>
          <w:sz w:val="24"/>
          <w:szCs w:val="24"/>
          <w:lang w:val="en-US"/>
        </w:rPr>
        <w:t xml:space="preserve">(-1,697&lt;1,895). Nilai signifikan menunjukkan lebih besar dari 0,05 yaitu 0,101  atau (0,101&gt;0,05). Hal ini menunjukkan bahwa variabel </w:t>
      </w:r>
      <w:r w:rsidRPr="00097066">
        <w:rPr>
          <w:i/>
          <w:sz w:val="24"/>
          <w:szCs w:val="24"/>
          <w:lang w:val="en-US"/>
        </w:rPr>
        <w:t xml:space="preserve">good corporate governance </w:t>
      </w:r>
      <w:r w:rsidRPr="00097066">
        <w:rPr>
          <w:sz w:val="24"/>
          <w:szCs w:val="24"/>
          <w:lang w:val="en-US"/>
        </w:rPr>
        <w:t>secara parsial berpengaruh negatif dan tidak signifikan terhadap tingkat kesehatan bank pada perusahaan sektor perbankan yang terdaftar di Bursa Efek Indonesia pada tahun 2019-2021.</w:t>
      </w:r>
    </w:p>
    <w:p w14:paraId="6593E149" w14:textId="095DE681" w:rsidR="00DC32DF" w:rsidRPr="00097066" w:rsidRDefault="007965B9" w:rsidP="00097066">
      <w:pPr>
        <w:numPr>
          <w:ilvl w:val="0"/>
          <w:numId w:val="7"/>
        </w:numPr>
        <w:ind w:left="284" w:hanging="284"/>
        <w:rPr>
          <w:sz w:val="24"/>
          <w:szCs w:val="24"/>
          <w:lang w:val="id"/>
        </w:rPr>
      </w:pPr>
      <w:r w:rsidRPr="00097066">
        <w:rPr>
          <w:sz w:val="24"/>
          <w:szCs w:val="24"/>
          <w:lang w:val="en-US"/>
        </w:rPr>
        <w:t>Berdasarkan hasil t</w:t>
      </w:r>
      <w:r w:rsidRPr="00097066">
        <w:rPr>
          <w:sz w:val="24"/>
          <w:szCs w:val="24"/>
          <w:vertAlign w:val="subscript"/>
          <w:lang w:val="en-US"/>
        </w:rPr>
        <w:t xml:space="preserve">hitung </w:t>
      </w:r>
      <w:r w:rsidRPr="00097066">
        <w:rPr>
          <w:sz w:val="24"/>
          <w:szCs w:val="24"/>
          <w:lang w:val="en-US"/>
        </w:rPr>
        <w:t>= 0,683 dan t</w:t>
      </w:r>
      <w:r w:rsidRPr="00097066">
        <w:rPr>
          <w:sz w:val="24"/>
          <w:szCs w:val="24"/>
          <w:vertAlign w:val="subscript"/>
          <w:lang w:val="en-US"/>
        </w:rPr>
        <w:t>tabel</w:t>
      </w:r>
      <w:r w:rsidRPr="00097066">
        <w:rPr>
          <w:sz w:val="24"/>
          <w:szCs w:val="24"/>
          <w:lang w:val="en-US"/>
        </w:rPr>
        <w:t xml:space="preserve"> = DF = N-K-1 (33-4-1=28) dengan taraf signifikan 0,05 hasil dari t</w:t>
      </w:r>
      <w:r w:rsidRPr="00097066">
        <w:rPr>
          <w:sz w:val="24"/>
          <w:szCs w:val="24"/>
          <w:vertAlign w:val="subscript"/>
          <w:lang w:val="en-US"/>
        </w:rPr>
        <w:t>tabel</w:t>
      </w:r>
      <w:r w:rsidRPr="00097066">
        <w:rPr>
          <w:sz w:val="24"/>
          <w:szCs w:val="24"/>
          <w:lang w:val="en-US"/>
        </w:rPr>
        <w:t xml:space="preserve"> adalah 1,895 maka hasil t</w:t>
      </w:r>
      <w:r w:rsidRPr="00097066">
        <w:rPr>
          <w:sz w:val="24"/>
          <w:szCs w:val="24"/>
          <w:vertAlign w:val="subscript"/>
          <w:lang w:val="en-US"/>
        </w:rPr>
        <w:t>hitung</w:t>
      </w:r>
      <w:r w:rsidRPr="00097066">
        <w:rPr>
          <w:sz w:val="24"/>
          <w:szCs w:val="24"/>
          <w:lang w:val="en-US"/>
        </w:rPr>
        <w:t xml:space="preserve"> lebih kecil dari t</w:t>
      </w:r>
      <w:r w:rsidRPr="00097066">
        <w:rPr>
          <w:sz w:val="24"/>
          <w:szCs w:val="24"/>
          <w:vertAlign w:val="subscript"/>
          <w:lang w:val="en-US"/>
        </w:rPr>
        <w:t xml:space="preserve">tabel </w:t>
      </w:r>
      <w:r w:rsidRPr="00097066">
        <w:rPr>
          <w:sz w:val="24"/>
          <w:szCs w:val="24"/>
          <w:lang w:val="en-US"/>
        </w:rPr>
        <w:t xml:space="preserve">(0,683&lt;1,895). Nilai signifikan menunjukkan lebih besar dari 0,05 yaitu 0,500  atau (0,500&gt;0,05). Hal ini menunjukkan bahwa variabel </w:t>
      </w:r>
      <w:r w:rsidRPr="00097066">
        <w:rPr>
          <w:i/>
          <w:sz w:val="24"/>
          <w:szCs w:val="24"/>
        </w:rPr>
        <w:t>earning</w:t>
      </w:r>
      <w:r w:rsidRPr="00097066">
        <w:rPr>
          <w:i/>
          <w:sz w:val="24"/>
          <w:szCs w:val="24"/>
          <w:lang w:val="en-US"/>
        </w:rPr>
        <w:t xml:space="preserve"> </w:t>
      </w:r>
      <w:r w:rsidRPr="00097066">
        <w:rPr>
          <w:sz w:val="24"/>
          <w:szCs w:val="24"/>
          <w:lang w:val="en-US"/>
        </w:rPr>
        <w:t xml:space="preserve">secara parsial berpengaruh </w:t>
      </w:r>
      <w:r w:rsidRPr="00097066">
        <w:rPr>
          <w:sz w:val="24"/>
          <w:szCs w:val="24"/>
        </w:rPr>
        <w:t xml:space="preserve">positif </w:t>
      </w:r>
      <w:r w:rsidRPr="00097066">
        <w:rPr>
          <w:sz w:val="24"/>
          <w:szCs w:val="24"/>
          <w:lang w:val="en-US"/>
        </w:rPr>
        <w:t>dan tidak signifikan terhadap tingkat kesehatan bank pada perusahaan sektor perbankan yang terdaftar di Bursa Efek Indonesia pada tahun 2019-2021.</w:t>
      </w:r>
    </w:p>
    <w:p w14:paraId="7536AD32" w14:textId="7B282E28" w:rsidR="00DC32DF" w:rsidRPr="00097066" w:rsidRDefault="007965B9" w:rsidP="00097066">
      <w:pPr>
        <w:numPr>
          <w:ilvl w:val="0"/>
          <w:numId w:val="7"/>
        </w:numPr>
        <w:ind w:left="284" w:hanging="284"/>
        <w:rPr>
          <w:b/>
          <w:sz w:val="24"/>
          <w:szCs w:val="24"/>
        </w:rPr>
      </w:pPr>
      <w:r w:rsidRPr="00097066">
        <w:rPr>
          <w:sz w:val="24"/>
          <w:szCs w:val="24"/>
          <w:lang w:val="en-US"/>
        </w:rPr>
        <w:t>Berdasarkan hasil t</w:t>
      </w:r>
      <w:r w:rsidRPr="00097066">
        <w:rPr>
          <w:sz w:val="24"/>
          <w:szCs w:val="24"/>
          <w:vertAlign w:val="subscript"/>
          <w:lang w:val="en-US"/>
        </w:rPr>
        <w:t xml:space="preserve">hitung </w:t>
      </w:r>
      <w:r w:rsidRPr="00097066">
        <w:rPr>
          <w:sz w:val="24"/>
          <w:szCs w:val="24"/>
          <w:lang w:val="en-US"/>
        </w:rPr>
        <w:t>= -</w:t>
      </w:r>
      <w:r w:rsidRPr="00097066">
        <w:rPr>
          <w:sz w:val="24"/>
          <w:szCs w:val="24"/>
        </w:rPr>
        <w:t xml:space="preserve">1,795 </w:t>
      </w:r>
      <w:r w:rsidRPr="00097066">
        <w:rPr>
          <w:sz w:val="24"/>
          <w:szCs w:val="24"/>
          <w:lang w:val="en-US"/>
        </w:rPr>
        <w:t>dan t</w:t>
      </w:r>
      <w:r w:rsidRPr="00097066">
        <w:rPr>
          <w:sz w:val="24"/>
          <w:szCs w:val="24"/>
          <w:vertAlign w:val="subscript"/>
          <w:lang w:val="en-US"/>
        </w:rPr>
        <w:t>tabel</w:t>
      </w:r>
      <w:r w:rsidRPr="00097066">
        <w:rPr>
          <w:sz w:val="24"/>
          <w:szCs w:val="24"/>
          <w:lang w:val="en-US"/>
        </w:rPr>
        <w:t xml:space="preserve"> = DF = N-K-1 (33-4-1=28) dengan taraf signifikan 0,05 hasil dari t</w:t>
      </w:r>
      <w:r w:rsidRPr="00097066">
        <w:rPr>
          <w:sz w:val="24"/>
          <w:szCs w:val="24"/>
          <w:vertAlign w:val="subscript"/>
          <w:lang w:val="en-US"/>
        </w:rPr>
        <w:t>tabel</w:t>
      </w:r>
      <w:r w:rsidRPr="00097066">
        <w:rPr>
          <w:sz w:val="24"/>
          <w:szCs w:val="24"/>
          <w:lang w:val="en-US"/>
        </w:rPr>
        <w:t xml:space="preserve"> adalah 1,895 maka hasil t</w:t>
      </w:r>
      <w:r w:rsidRPr="00097066">
        <w:rPr>
          <w:sz w:val="24"/>
          <w:szCs w:val="24"/>
          <w:vertAlign w:val="subscript"/>
          <w:lang w:val="en-US"/>
        </w:rPr>
        <w:t>hitung</w:t>
      </w:r>
      <w:r w:rsidRPr="00097066">
        <w:rPr>
          <w:sz w:val="24"/>
          <w:szCs w:val="24"/>
          <w:lang w:val="en-US"/>
        </w:rPr>
        <w:t xml:space="preserve"> lebih kecil dari t</w:t>
      </w:r>
      <w:r w:rsidRPr="00097066">
        <w:rPr>
          <w:sz w:val="24"/>
          <w:szCs w:val="24"/>
          <w:vertAlign w:val="subscript"/>
          <w:lang w:val="en-US"/>
        </w:rPr>
        <w:t xml:space="preserve">tabel </w:t>
      </w:r>
      <w:r w:rsidRPr="00097066">
        <w:rPr>
          <w:sz w:val="24"/>
          <w:szCs w:val="24"/>
          <w:lang w:val="en-US"/>
        </w:rPr>
        <w:t xml:space="preserve">(-1,795&lt;1,895). Nilai signifikan menunjukkan lebih besar dari 0,05 yaitu 0,084 atau (0,084&gt;0,05). Hal ini menunjukkan bahwa variabel </w:t>
      </w:r>
      <w:r w:rsidRPr="00097066">
        <w:rPr>
          <w:i/>
          <w:sz w:val="24"/>
          <w:szCs w:val="24"/>
        </w:rPr>
        <w:t>capital</w:t>
      </w:r>
      <w:r w:rsidRPr="00097066">
        <w:rPr>
          <w:i/>
          <w:sz w:val="24"/>
          <w:szCs w:val="24"/>
          <w:lang w:val="en-US"/>
        </w:rPr>
        <w:t xml:space="preserve"> </w:t>
      </w:r>
      <w:r w:rsidRPr="00097066">
        <w:rPr>
          <w:sz w:val="24"/>
          <w:szCs w:val="24"/>
          <w:lang w:val="en-US"/>
        </w:rPr>
        <w:t>secara parsial berpengaruh negatif dan tidak signifikan terhadap tingkat kesehatan bank pada perusahaan sektor perbankan yang terdaftar di Bursa Efek Indonesia pada tahun 2019-2021</w:t>
      </w:r>
      <w:r w:rsidRPr="00097066">
        <w:rPr>
          <w:sz w:val="24"/>
          <w:szCs w:val="24"/>
        </w:rPr>
        <w:t>.</w:t>
      </w:r>
    </w:p>
    <w:p w14:paraId="1202A13E" w14:textId="6FA657BE" w:rsidR="007965B9" w:rsidRPr="00097066" w:rsidRDefault="007965B9" w:rsidP="00097066">
      <w:pPr>
        <w:numPr>
          <w:ilvl w:val="0"/>
          <w:numId w:val="7"/>
        </w:numPr>
        <w:ind w:left="284" w:hanging="284"/>
        <w:rPr>
          <w:b/>
          <w:sz w:val="24"/>
          <w:szCs w:val="24"/>
        </w:rPr>
      </w:pPr>
      <w:r w:rsidRPr="00097066">
        <w:rPr>
          <w:sz w:val="24"/>
          <w:szCs w:val="24"/>
          <w:lang w:val="en-US"/>
        </w:rPr>
        <w:t>Berdasarkan hasil perhitungan pada SPSS diperoleh nilai statisti</w:t>
      </w:r>
      <w:r w:rsidRPr="00097066">
        <w:rPr>
          <w:sz w:val="24"/>
          <w:szCs w:val="24"/>
        </w:rPr>
        <w:t>k</w:t>
      </w:r>
      <w:r w:rsidRPr="00097066">
        <w:rPr>
          <w:sz w:val="24"/>
          <w:szCs w:val="24"/>
          <w:lang w:val="en-US"/>
        </w:rPr>
        <w:t xml:space="preserve"> F</w:t>
      </w:r>
      <w:r w:rsidRPr="00097066">
        <w:rPr>
          <w:sz w:val="24"/>
          <w:szCs w:val="24"/>
          <w:vertAlign w:val="subscript"/>
          <w:lang w:val="en-US"/>
        </w:rPr>
        <w:t>hitung</w:t>
      </w:r>
      <w:r w:rsidRPr="00097066">
        <w:rPr>
          <w:sz w:val="24"/>
          <w:szCs w:val="24"/>
          <w:lang w:val="en-US"/>
        </w:rPr>
        <w:t xml:space="preserve"> sebesar 3,206 lebih kecil dari F</w:t>
      </w:r>
      <w:r w:rsidRPr="00097066">
        <w:rPr>
          <w:sz w:val="24"/>
          <w:szCs w:val="24"/>
          <w:vertAlign w:val="subscript"/>
          <w:lang w:val="en-US"/>
        </w:rPr>
        <w:t>tabel</w:t>
      </w:r>
      <w:r w:rsidRPr="00097066">
        <w:rPr>
          <w:sz w:val="24"/>
          <w:szCs w:val="24"/>
          <w:lang w:val="en-US"/>
        </w:rPr>
        <w:t xml:space="preserve"> (</w:t>
      </w:r>
      <w:r w:rsidRPr="00097066">
        <w:rPr>
          <w:sz w:val="24"/>
          <w:szCs w:val="24"/>
        </w:rPr>
        <w:t>3,206</w:t>
      </w:r>
      <w:r w:rsidRPr="00097066">
        <w:rPr>
          <w:sz w:val="24"/>
          <w:szCs w:val="24"/>
          <w:lang w:val="en-US"/>
        </w:rPr>
        <w:t xml:space="preserve">&lt;4,757) dengan nilai signifikan adalah 0,028 yang berarti lebih </w:t>
      </w:r>
      <w:r w:rsidRPr="00097066">
        <w:rPr>
          <w:sz w:val="24"/>
          <w:szCs w:val="24"/>
        </w:rPr>
        <w:t>kecil</w:t>
      </w:r>
      <w:r w:rsidRPr="00097066">
        <w:rPr>
          <w:sz w:val="24"/>
          <w:szCs w:val="24"/>
          <w:lang w:val="en-US"/>
        </w:rPr>
        <w:t xml:space="preserve"> dari 0,05. Hal ini menunjukkan bahwa nilai signifikan uji F variabel </w:t>
      </w:r>
      <w:r w:rsidRPr="00097066">
        <w:rPr>
          <w:i/>
          <w:sz w:val="24"/>
          <w:szCs w:val="24"/>
          <w:lang w:val="en-US"/>
        </w:rPr>
        <w:t>risk profile</w:t>
      </w:r>
      <w:r w:rsidRPr="00097066">
        <w:rPr>
          <w:sz w:val="24"/>
          <w:szCs w:val="24"/>
          <w:lang w:val="en-US"/>
        </w:rPr>
        <w:t xml:space="preserve"> (X1), </w:t>
      </w:r>
      <w:r w:rsidRPr="00097066">
        <w:rPr>
          <w:i/>
          <w:sz w:val="24"/>
          <w:szCs w:val="24"/>
          <w:lang w:val="en-US"/>
        </w:rPr>
        <w:t>good corporate governance</w:t>
      </w:r>
      <w:r w:rsidRPr="00097066">
        <w:rPr>
          <w:sz w:val="24"/>
          <w:szCs w:val="24"/>
          <w:lang w:val="en-US"/>
        </w:rPr>
        <w:t xml:space="preserve"> (X2), </w:t>
      </w:r>
      <w:r w:rsidRPr="00097066">
        <w:rPr>
          <w:i/>
          <w:sz w:val="24"/>
          <w:szCs w:val="24"/>
          <w:lang w:val="en-US"/>
        </w:rPr>
        <w:t xml:space="preserve">earning </w:t>
      </w:r>
      <w:r w:rsidRPr="00097066">
        <w:rPr>
          <w:sz w:val="24"/>
          <w:szCs w:val="24"/>
          <w:lang w:val="en-US"/>
        </w:rPr>
        <w:t xml:space="preserve">(X3), dan </w:t>
      </w:r>
      <w:r w:rsidRPr="00097066">
        <w:rPr>
          <w:i/>
          <w:sz w:val="24"/>
          <w:szCs w:val="24"/>
          <w:lang w:val="en-US"/>
        </w:rPr>
        <w:t xml:space="preserve">capital </w:t>
      </w:r>
      <w:r w:rsidRPr="00097066">
        <w:rPr>
          <w:sz w:val="24"/>
          <w:szCs w:val="24"/>
          <w:lang w:val="en-US"/>
        </w:rPr>
        <w:t xml:space="preserve">(X4) &lt; 0,05. Hasil dari pengujian simultan ini adalah </w:t>
      </w:r>
      <w:r w:rsidRPr="00097066">
        <w:rPr>
          <w:i/>
          <w:sz w:val="24"/>
          <w:szCs w:val="24"/>
          <w:lang w:val="en-US"/>
        </w:rPr>
        <w:t>risk profile</w:t>
      </w:r>
      <w:r w:rsidRPr="00097066">
        <w:rPr>
          <w:sz w:val="24"/>
          <w:szCs w:val="24"/>
          <w:lang w:val="en-US"/>
        </w:rPr>
        <w:t xml:space="preserve"> (X1), </w:t>
      </w:r>
      <w:r w:rsidRPr="00097066">
        <w:rPr>
          <w:i/>
          <w:sz w:val="24"/>
          <w:szCs w:val="24"/>
          <w:lang w:val="en-US"/>
        </w:rPr>
        <w:t>good corporate governance</w:t>
      </w:r>
      <w:r w:rsidRPr="00097066">
        <w:rPr>
          <w:sz w:val="24"/>
          <w:szCs w:val="24"/>
          <w:lang w:val="en-US"/>
        </w:rPr>
        <w:t xml:space="preserve"> (X2), </w:t>
      </w:r>
      <w:r w:rsidRPr="00097066">
        <w:rPr>
          <w:i/>
          <w:sz w:val="24"/>
          <w:szCs w:val="24"/>
          <w:lang w:val="en-US"/>
        </w:rPr>
        <w:t xml:space="preserve">earning </w:t>
      </w:r>
      <w:r w:rsidRPr="00097066">
        <w:rPr>
          <w:sz w:val="24"/>
          <w:szCs w:val="24"/>
          <w:lang w:val="en-US"/>
        </w:rPr>
        <w:t xml:space="preserve">(X3), dan </w:t>
      </w:r>
      <w:r w:rsidRPr="00097066">
        <w:rPr>
          <w:i/>
          <w:sz w:val="24"/>
          <w:szCs w:val="24"/>
          <w:lang w:val="en-US"/>
        </w:rPr>
        <w:t xml:space="preserve">capital </w:t>
      </w:r>
      <w:r w:rsidRPr="00097066">
        <w:rPr>
          <w:sz w:val="24"/>
          <w:szCs w:val="24"/>
          <w:lang w:val="en-US"/>
        </w:rPr>
        <w:t>(X4) berpengaruh signifikan terhadap tingkat kesehatan bank.</w:t>
      </w:r>
    </w:p>
    <w:p w14:paraId="4D9F44C9" w14:textId="77777777" w:rsidR="00DC32DF" w:rsidRPr="00097066" w:rsidRDefault="00DC32DF" w:rsidP="00097066">
      <w:pPr>
        <w:ind w:left="0" w:firstLine="0"/>
        <w:rPr>
          <w:b/>
          <w:sz w:val="24"/>
          <w:szCs w:val="24"/>
        </w:rPr>
      </w:pPr>
    </w:p>
    <w:p w14:paraId="4280FD27" w14:textId="6E5E16C2" w:rsidR="007965B9" w:rsidRPr="00097066" w:rsidRDefault="00DC32DF" w:rsidP="00097066">
      <w:pPr>
        <w:ind w:left="0" w:firstLine="0"/>
        <w:rPr>
          <w:b/>
          <w:sz w:val="24"/>
          <w:szCs w:val="24"/>
          <w:lang w:val="en-US"/>
        </w:rPr>
      </w:pPr>
      <w:r w:rsidRPr="00097066">
        <w:rPr>
          <w:b/>
          <w:sz w:val="24"/>
          <w:szCs w:val="24"/>
          <w:lang w:val="en-US"/>
        </w:rPr>
        <w:t>SARAN</w:t>
      </w:r>
    </w:p>
    <w:p w14:paraId="1C5ED6AB" w14:textId="77777777" w:rsidR="00DC32DF" w:rsidRPr="00097066" w:rsidRDefault="00DC32DF" w:rsidP="00097066">
      <w:pPr>
        <w:pStyle w:val="ListParagraph"/>
        <w:numPr>
          <w:ilvl w:val="0"/>
          <w:numId w:val="8"/>
        </w:numPr>
        <w:ind w:left="284" w:hanging="284"/>
        <w:rPr>
          <w:sz w:val="24"/>
          <w:szCs w:val="24"/>
        </w:rPr>
      </w:pPr>
      <w:r w:rsidRPr="00097066">
        <w:rPr>
          <w:sz w:val="24"/>
          <w:szCs w:val="24"/>
          <w:lang w:val="id"/>
        </w:rPr>
        <w:t>Bagi Pihak Perusahaan</w:t>
      </w:r>
    </w:p>
    <w:p w14:paraId="3E09B988" w14:textId="1187A52F" w:rsidR="00DC32DF" w:rsidRPr="00097066" w:rsidRDefault="00E7120E" w:rsidP="00097066">
      <w:pPr>
        <w:ind w:left="0" w:firstLine="284"/>
        <w:rPr>
          <w:sz w:val="24"/>
          <w:szCs w:val="24"/>
        </w:rPr>
      </w:pPr>
      <w:r w:rsidRPr="00097066">
        <w:rPr>
          <w:bCs/>
          <w:sz w:val="24"/>
          <w:szCs w:val="24"/>
        </w:rPr>
        <w:t xml:space="preserve">Beberapa indikator, termasuk risiko hukum, risiko strategis, risiko kepatuhan, dan risiko reputasi, tidak dapat dievaluasi karena data keuangan perbankan yang digunakan untuk mengukur kesehatan bank tidak sepenuhnya diungkapkan dalam laporan keuangan yang diterbitkan bank. Perusahaan perbankan dapat menggunakan penelitian ini untuk mencari informasi, referensi, dan bahan ulasan yang dapat membantu mereka meningkatkan tingkat kesehatan bank mereka jika ditemukan tidak sehat atau memiliki masalah berdasarkan rasio keuangan </w:t>
      </w:r>
      <w:r w:rsidRPr="00097066">
        <w:rPr>
          <w:bCs/>
          <w:sz w:val="24"/>
          <w:szCs w:val="24"/>
        </w:rPr>
        <w:lastRenderedPageBreak/>
        <w:t>perusahaan.</w:t>
      </w:r>
      <w:r w:rsidR="007965B9" w:rsidRPr="00097066">
        <w:rPr>
          <w:bCs/>
          <w:sz w:val="24"/>
          <w:szCs w:val="24"/>
        </w:rPr>
        <w:t xml:space="preserve"> Bagi perbankan yang mengalami predikat tidak sehat agar menjadikan penelitian ini referensi untuk menilai tingkat kesehatan bank seperti, pelaksanaan tugas-tugas komite untuk menjalankan tugasnya dengan baik, mempertahankan kebijakan yang dapat menjaga kestabilan nilai </w:t>
      </w:r>
      <w:r w:rsidR="007965B9" w:rsidRPr="00097066">
        <w:rPr>
          <w:bCs/>
          <w:i/>
          <w:sz w:val="24"/>
          <w:szCs w:val="24"/>
        </w:rPr>
        <w:t>risk profile</w:t>
      </w:r>
      <w:r w:rsidR="007965B9" w:rsidRPr="00097066">
        <w:rPr>
          <w:bCs/>
          <w:sz w:val="24"/>
          <w:szCs w:val="24"/>
        </w:rPr>
        <w:t xml:space="preserve">, </w:t>
      </w:r>
      <w:r w:rsidR="007965B9" w:rsidRPr="00097066">
        <w:rPr>
          <w:bCs/>
          <w:i/>
          <w:sz w:val="24"/>
          <w:szCs w:val="24"/>
        </w:rPr>
        <w:t xml:space="preserve">earning </w:t>
      </w:r>
      <w:r w:rsidR="007965B9" w:rsidRPr="00097066">
        <w:rPr>
          <w:bCs/>
          <w:sz w:val="24"/>
          <w:szCs w:val="24"/>
        </w:rPr>
        <w:t xml:space="preserve">dan </w:t>
      </w:r>
      <w:r w:rsidR="007965B9" w:rsidRPr="00097066">
        <w:rPr>
          <w:bCs/>
          <w:i/>
          <w:sz w:val="24"/>
          <w:szCs w:val="24"/>
        </w:rPr>
        <w:t>capital</w:t>
      </w:r>
      <w:r w:rsidR="007965B9" w:rsidRPr="00097066">
        <w:rPr>
          <w:bCs/>
          <w:sz w:val="24"/>
          <w:szCs w:val="24"/>
        </w:rPr>
        <w:t xml:space="preserve"> untuk tetap memperoleh predikat perbankan yang sehat dan dipercaya oleh masyarakat atau nasabah.</w:t>
      </w:r>
    </w:p>
    <w:p w14:paraId="161F6D2D" w14:textId="77777777" w:rsidR="00DC32DF" w:rsidRPr="00097066" w:rsidRDefault="00DC32DF" w:rsidP="00097066">
      <w:pPr>
        <w:pStyle w:val="ListParagraph"/>
        <w:numPr>
          <w:ilvl w:val="0"/>
          <w:numId w:val="8"/>
        </w:numPr>
        <w:ind w:left="284" w:hanging="284"/>
        <w:rPr>
          <w:sz w:val="24"/>
          <w:szCs w:val="24"/>
        </w:rPr>
      </w:pPr>
      <w:r w:rsidRPr="00097066">
        <w:rPr>
          <w:sz w:val="24"/>
          <w:szCs w:val="24"/>
          <w:lang w:val="id"/>
        </w:rPr>
        <w:t>Bagi Peneliti Selanjutny</w:t>
      </w:r>
      <w:r w:rsidRPr="00097066">
        <w:rPr>
          <w:sz w:val="24"/>
          <w:szCs w:val="24"/>
        </w:rPr>
        <w:t>a</w:t>
      </w:r>
    </w:p>
    <w:p w14:paraId="4EAC17DC" w14:textId="685483C2" w:rsidR="00DC32DF" w:rsidRPr="00097066" w:rsidRDefault="007965B9" w:rsidP="00097066">
      <w:pPr>
        <w:ind w:left="0" w:firstLine="284"/>
        <w:rPr>
          <w:sz w:val="24"/>
          <w:szCs w:val="24"/>
        </w:rPr>
      </w:pPr>
      <w:r w:rsidRPr="00097066">
        <w:rPr>
          <w:bCs/>
          <w:sz w:val="24"/>
          <w:szCs w:val="24"/>
        </w:rPr>
        <w:t xml:space="preserve">Hasil penelitian ini masih banyak keterbatasan dan peneliti selanjutnya dapat </w:t>
      </w:r>
      <w:r w:rsidRPr="00097066">
        <w:rPr>
          <w:bCs/>
          <w:sz w:val="24"/>
          <w:szCs w:val="24"/>
          <w:lang w:val="en-US"/>
        </w:rPr>
        <w:t xml:space="preserve">menggunakan indikator yang lainnya, seperti indikator </w:t>
      </w:r>
      <w:r w:rsidRPr="00097066">
        <w:rPr>
          <w:bCs/>
          <w:i/>
          <w:sz w:val="24"/>
          <w:szCs w:val="24"/>
          <w:lang w:val="en-US"/>
        </w:rPr>
        <w:t xml:space="preserve">net interest margin </w:t>
      </w:r>
      <w:r w:rsidRPr="00097066">
        <w:rPr>
          <w:bCs/>
          <w:sz w:val="24"/>
          <w:szCs w:val="24"/>
          <w:lang w:val="en-US"/>
        </w:rPr>
        <w:t xml:space="preserve">dan </w:t>
      </w:r>
      <w:r w:rsidRPr="00097066">
        <w:rPr>
          <w:bCs/>
          <w:i/>
          <w:sz w:val="24"/>
          <w:szCs w:val="24"/>
          <w:lang w:val="en-US"/>
        </w:rPr>
        <w:t>return on equity</w:t>
      </w:r>
      <w:r w:rsidRPr="00097066">
        <w:rPr>
          <w:bCs/>
          <w:sz w:val="24"/>
          <w:szCs w:val="24"/>
        </w:rPr>
        <w:t xml:space="preserve"> yang tidak ikut diteliti yang dapat berpengaruh terhadap tingkat kesehatan bank dan menambah periode tahun dan objek penelitian.</w:t>
      </w:r>
    </w:p>
    <w:p w14:paraId="3B1C3BD2" w14:textId="77777777" w:rsidR="00C66385" w:rsidRPr="00097066" w:rsidRDefault="00C66385" w:rsidP="00097066">
      <w:pPr>
        <w:pStyle w:val="ListParagraph"/>
        <w:ind w:left="0" w:firstLine="0"/>
        <w:rPr>
          <w:sz w:val="24"/>
          <w:szCs w:val="24"/>
        </w:rPr>
      </w:pPr>
    </w:p>
    <w:p w14:paraId="5F62446D" w14:textId="60EC9006" w:rsidR="002F6FC4" w:rsidRPr="00097066" w:rsidRDefault="00C66385" w:rsidP="00097066">
      <w:pPr>
        <w:widowControl w:val="0"/>
        <w:autoSpaceDE w:val="0"/>
        <w:autoSpaceDN w:val="0"/>
        <w:adjustRightInd w:val="0"/>
        <w:ind w:left="0" w:firstLine="0"/>
        <w:rPr>
          <w:b/>
          <w:sz w:val="24"/>
          <w:szCs w:val="24"/>
          <w:lang w:val="en-US"/>
        </w:rPr>
      </w:pPr>
      <w:r w:rsidRPr="00097066">
        <w:rPr>
          <w:b/>
          <w:sz w:val="24"/>
          <w:szCs w:val="24"/>
        </w:rPr>
        <w:t>DAFTAR PUSTAKA</w:t>
      </w:r>
    </w:p>
    <w:p w14:paraId="25008A10" w14:textId="77777777" w:rsidR="00D719F8" w:rsidRPr="00097066" w:rsidRDefault="00D719F8" w:rsidP="00097066">
      <w:pPr>
        <w:widowControl w:val="0"/>
        <w:autoSpaceDE w:val="0"/>
        <w:autoSpaceDN w:val="0"/>
        <w:adjustRightInd w:val="0"/>
        <w:ind w:left="720" w:hanging="720"/>
        <w:rPr>
          <w:noProof/>
          <w:sz w:val="24"/>
          <w:szCs w:val="24"/>
        </w:rPr>
      </w:pPr>
      <w:r w:rsidRPr="00097066">
        <w:rPr>
          <w:noProof/>
          <w:sz w:val="24"/>
          <w:szCs w:val="24"/>
        </w:rPr>
        <w:t>Bank Indonesia, 2011. Surat Edaran, kepada semua bank umum konvensional di Indonesia, No. 13/24/DPNP, Jakarta, 25 Oktober 2011 Tentang Penilaian Tingkat Kesehatan Bank Umum.</w:t>
      </w:r>
    </w:p>
    <w:p w14:paraId="20BD5E35" w14:textId="77777777" w:rsidR="00D719F8" w:rsidRPr="00097066" w:rsidRDefault="00D719F8" w:rsidP="00097066">
      <w:pPr>
        <w:widowControl w:val="0"/>
        <w:autoSpaceDE w:val="0"/>
        <w:autoSpaceDN w:val="0"/>
        <w:adjustRightInd w:val="0"/>
        <w:ind w:left="720" w:hanging="720"/>
        <w:rPr>
          <w:noProof/>
          <w:sz w:val="24"/>
          <w:szCs w:val="24"/>
        </w:rPr>
      </w:pPr>
      <w:r w:rsidRPr="00097066">
        <w:rPr>
          <w:noProof/>
          <w:sz w:val="24"/>
          <w:szCs w:val="24"/>
        </w:rPr>
        <w:t>Bank Indonesia, 2011. Peraturan Bank Indonesia, Nomor. 13/1/PBI/2011,Tentang Penilaian Tingkat Kesehatan Bank.</w:t>
      </w:r>
    </w:p>
    <w:p w14:paraId="1BD3DB4B" w14:textId="45623552" w:rsidR="00D719F8" w:rsidRPr="00097066" w:rsidRDefault="00D719F8" w:rsidP="00097066">
      <w:pPr>
        <w:widowControl w:val="0"/>
        <w:autoSpaceDE w:val="0"/>
        <w:autoSpaceDN w:val="0"/>
        <w:adjustRightInd w:val="0"/>
        <w:ind w:left="720" w:hanging="720"/>
        <w:rPr>
          <w:noProof/>
          <w:sz w:val="24"/>
          <w:szCs w:val="24"/>
        </w:rPr>
      </w:pPr>
      <w:r w:rsidRPr="00097066">
        <w:rPr>
          <w:b/>
          <w:bCs/>
          <w:sz w:val="24"/>
          <w:szCs w:val="24"/>
        </w:rPr>
        <w:fldChar w:fldCharType="begin" w:fldLock="1"/>
      </w:r>
      <w:r w:rsidRPr="00097066">
        <w:rPr>
          <w:b/>
          <w:bCs/>
          <w:sz w:val="24"/>
          <w:szCs w:val="24"/>
        </w:rPr>
        <w:instrText xml:space="preserve">ADDIN Mendeley Bibliography CSL_BIBLIOGRAPHY </w:instrText>
      </w:r>
      <w:r w:rsidRPr="00097066">
        <w:rPr>
          <w:b/>
          <w:bCs/>
          <w:sz w:val="24"/>
          <w:szCs w:val="24"/>
        </w:rPr>
        <w:fldChar w:fldCharType="separate"/>
      </w:r>
      <w:r w:rsidRPr="00097066">
        <w:rPr>
          <w:noProof/>
          <w:sz w:val="24"/>
          <w:szCs w:val="24"/>
        </w:rPr>
        <w:t xml:space="preserve">Dinisafitri, E. S., Rahayu, P., &amp; Kusumaningarti, M. (2023). Pengaruh </w:t>
      </w:r>
      <w:r w:rsidRPr="00097066">
        <w:rPr>
          <w:i/>
          <w:noProof/>
          <w:sz w:val="24"/>
          <w:szCs w:val="24"/>
        </w:rPr>
        <w:t>Corporate Governance</w:t>
      </w:r>
      <w:r w:rsidRPr="00097066">
        <w:rPr>
          <w:noProof/>
          <w:sz w:val="24"/>
          <w:szCs w:val="24"/>
        </w:rPr>
        <w:t xml:space="preserve"> Dan </w:t>
      </w:r>
      <w:r w:rsidRPr="00097066">
        <w:rPr>
          <w:i/>
          <w:noProof/>
          <w:sz w:val="24"/>
          <w:szCs w:val="24"/>
        </w:rPr>
        <w:t>Leverage</w:t>
      </w:r>
      <w:r w:rsidRPr="00097066">
        <w:rPr>
          <w:noProof/>
          <w:sz w:val="24"/>
          <w:szCs w:val="24"/>
        </w:rPr>
        <w:t xml:space="preserve"> Terhadap </w:t>
      </w:r>
      <w:r w:rsidRPr="00097066">
        <w:rPr>
          <w:i/>
          <w:noProof/>
          <w:sz w:val="24"/>
          <w:szCs w:val="24"/>
        </w:rPr>
        <w:t>Agency Cost</w:t>
      </w:r>
      <w:r w:rsidRPr="00097066">
        <w:rPr>
          <w:noProof/>
          <w:sz w:val="24"/>
          <w:szCs w:val="24"/>
        </w:rPr>
        <w:t xml:space="preserve"> Pada Perusahaan</w:t>
      </w:r>
      <w:r w:rsidRPr="00097066">
        <w:rPr>
          <w:i/>
          <w:noProof/>
          <w:sz w:val="24"/>
          <w:szCs w:val="24"/>
        </w:rPr>
        <w:t xml:space="preserve"> Food Beverage</w:t>
      </w:r>
      <w:r w:rsidRPr="00097066">
        <w:rPr>
          <w:noProof/>
          <w:sz w:val="24"/>
          <w:szCs w:val="24"/>
        </w:rPr>
        <w:t xml:space="preserve"> Bursa Efek Indonesia. </w:t>
      </w:r>
      <w:r w:rsidRPr="00097066">
        <w:rPr>
          <w:iCs/>
          <w:noProof/>
          <w:sz w:val="24"/>
          <w:szCs w:val="24"/>
        </w:rPr>
        <w:t>Jurnal Ilmiah Cendekia Akuntansi</w:t>
      </w:r>
      <w:r w:rsidRPr="00097066">
        <w:rPr>
          <w:noProof/>
          <w:sz w:val="24"/>
          <w:szCs w:val="24"/>
        </w:rPr>
        <w:t xml:space="preserve">, </w:t>
      </w:r>
      <w:r w:rsidRPr="00097066">
        <w:rPr>
          <w:iCs/>
          <w:noProof/>
          <w:sz w:val="24"/>
          <w:szCs w:val="24"/>
        </w:rPr>
        <w:t>8</w:t>
      </w:r>
      <w:r w:rsidRPr="00097066">
        <w:rPr>
          <w:noProof/>
          <w:sz w:val="24"/>
          <w:szCs w:val="24"/>
        </w:rPr>
        <w:t>(2), 1–15.</w:t>
      </w:r>
    </w:p>
    <w:p w14:paraId="12165C8C" w14:textId="17F6D9B7" w:rsidR="00D719F8" w:rsidRPr="00097066" w:rsidRDefault="00D719F8" w:rsidP="00097066">
      <w:pPr>
        <w:widowControl w:val="0"/>
        <w:autoSpaceDE w:val="0"/>
        <w:autoSpaceDN w:val="0"/>
        <w:adjustRightInd w:val="0"/>
        <w:ind w:left="720" w:hanging="720"/>
        <w:rPr>
          <w:noProof/>
          <w:sz w:val="24"/>
          <w:szCs w:val="24"/>
        </w:rPr>
      </w:pPr>
      <w:bookmarkStart w:id="11" w:name="_Hlk147169576"/>
      <w:r w:rsidRPr="00097066">
        <w:rPr>
          <w:noProof/>
          <w:sz w:val="24"/>
          <w:szCs w:val="24"/>
        </w:rPr>
        <w:t>Fitriana, Nur. Rosyid, Ahmad. Fakhrina, A. (2015)</w:t>
      </w:r>
      <w:r w:rsidRPr="00097066">
        <w:rPr>
          <w:i/>
          <w:noProof/>
          <w:sz w:val="24"/>
          <w:szCs w:val="24"/>
        </w:rPr>
        <w:t xml:space="preserve">. </w:t>
      </w:r>
      <w:bookmarkEnd w:id="11"/>
      <w:r w:rsidRPr="00097066">
        <w:rPr>
          <w:i/>
          <w:noProof/>
          <w:sz w:val="24"/>
          <w:szCs w:val="24"/>
        </w:rPr>
        <w:t xml:space="preserve">Analisis Perbandingan Tingkat Kesehatan Bank Syariah Dan Konvensional Dengan Menggunakan Metode Risk Profile , Good Corporate Governance , Earnings , Dan Capital (RGEC). </w:t>
      </w:r>
      <w:r w:rsidRPr="00097066">
        <w:rPr>
          <w:iCs/>
          <w:noProof/>
          <w:sz w:val="24"/>
          <w:szCs w:val="24"/>
        </w:rPr>
        <w:t>jurnal Ekonomi dan Bisnis</w:t>
      </w:r>
      <w:r w:rsidRPr="00097066">
        <w:rPr>
          <w:noProof/>
          <w:sz w:val="24"/>
          <w:szCs w:val="24"/>
        </w:rPr>
        <w:t xml:space="preserve">, </w:t>
      </w:r>
      <w:r w:rsidRPr="00097066">
        <w:rPr>
          <w:iCs/>
          <w:noProof/>
          <w:sz w:val="24"/>
          <w:szCs w:val="24"/>
        </w:rPr>
        <w:t>17</w:t>
      </w:r>
      <w:r w:rsidRPr="00097066">
        <w:rPr>
          <w:noProof/>
          <w:sz w:val="24"/>
          <w:szCs w:val="24"/>
        </w:rPr>
        <w:t>(2), 1–12.</w:t>
      </w:r>
    </w:p>
    <w:p w14:paraId="29907D07" w14:textId="77777777" w:rsidR="00D719F8" w:rsidRPr="00097066" w:rsidRDefault="00D719F8" w:rsidP="00097066">
      <w:pPr>
        <w:widowControl w:val="0"/>
        <w:autoSpaceDE w:val="0"/>
        <w:autoSpaceDN w:val="0"/>
        <w:adjustRightInd w:val="0"/>
        <w:ind w:left="720" w:hanging="720"/>
        <w:rPr>
          <w:noProof/>
          <w:sz w:val="24"/>
          <w:szCs w:val="24"/>
        </w:rPr>
      </w:pPr>
      <w:r w:rsidRPr="00097066">
        <w:rPr>
          <w:noProof/>
          <w:sz w:val="24"/>
          <w:szCs w:val="24"/>
        </w:rPr>
        <w:t xml:space="preserve">Ikatan Bankir Indonesia. (2016). </w:t>
      </w:r>
      <w:r w:rsidRPr="00097066">
        <w:rPr>
          <w:iCs/>
          <w:noProof/>
          <w:sz w:val="24"/>
          <w:szCs w:val="24"/>
        </w:rPr>
        <w:t>Manajamen Kesehatan Bank Berbasis Risiko</w:t>
      </w:r>
      <w:r w:rsidRPr="00097066">
        <w:rPr>
          <w:noProof/>
          <w:sz w:val="24"/>
          <w:szCs w:val="24"/>
        </w:rPr>
        <w:t xml:space="preserve"> (Pertama). PT. Gramedia Pustaka Utama.</w:t>
      </w:r>
    </w:p>
    <w:p w14:paraId="69A93DCB" w14:textId="04E5CBE3" w:rsidR="002F6FC4" w:rsidRPr="00097066" w:rsidRDefault="002F6FC4" w:rsidP="00097066">
      <w:pPr>
        <w:widowControl w:val="0"/>
        <w:autoSpaceDE w:val="0"/>
        <w:autoSpaceDN w:val="0"/>
        <w:adjustRightInd w:val="0"/>
        <w:ind w:left="720" w:hanging="720"/>
        <w:rPr>
          <w:noProof/>
          <w:sz w:val="24"/>
          <w:szCs w:val="24"/>
        </w:rPr>
      </w:pPr>
      <w:r w:rsidRPr="00097066">
        <w:rPr>
          <w:noProof/>
          <w:sz w:val="24"/>
          <w:szCs w:val="24"/>
        </w:rPr>
        <w:t>Kasmir, Kasmir. 2021. Analisis Laporan Keuangan. Edited by Stephen Rinaldy. Revisi. Depok: PT. Raja Grafindo Persada.</w:t>
      </w:r>
    </w:p>
    <w:p w14:paraId="27193289" w14:textId="77777777" w:rsidR="00D719F8" w:rsidRPr="00097066" w:rsidRDefault="00D719F8" w:rsidP="00097066">
      <w:pPr>
        <w:widowControl w:val="0"/>
        <w:autoSpaceDE w:val="0"/>
        <w:autoSpaceDN w:val="0"/>
        <w:adjustRightInd w:val="0"/>
        <w:ind w:left="720" w:hanging="720"/>
        <w:rPr>
          <w:noProof/>
          <w:sz w:val="24"/>
          <w:szCs w:val="24"/>
        </w:rPr>
      </w:pPr>
      <w:r w:rsidRPr="00097066">
        <w:rPr>
          <w:noProof/>
          <w:sz w:val="24"/>
          <w:szCs w:val="24"/>
        </w:rPr>
        <w:t xml:space="preserve">Medianto, Munir, M., &amp; Ambarwati, D. (2022). Pengaruh </w:t>
      </w:r>
      <w:r w:rsidRPr="00097066">
        <w:rPr>
          <w:i/>
          <w:noProof/>
          <w:sz w:val="24"/>
          <w:szCs w:val="24"/>
        </w:rPr>
        <w:t>Good Corporate Governance</w:t>
      </w:r>
      <w:r w:rsidRPr="00097066">
        <w:rPr>
          <w:noProof/>
          <w:sz w:val="24"/>
          <w:szCs w:val="24"/>
        </w:rPr>
        <w:t xml:space="preserve"> Terhadap Profitabilitas (Studi Kasus Pada Perusahaan Perbankan Yang Terdaftar Di Bei Periode Tahun 2014-2020). </w:t>
      </w:r>
      <w:r w:rsidRPr="00097066">
        <w:rPr>
          <w:iCs/>
          <w:noProof/>
          <w:sz w:val="24"/>
          <w:szCs w:val="24"/>
        </w:rPr>
        <w:t>Jurnal Ekonomi dan Manajemen</w:t>
      </w:r>
      <w:r w:rsidRPr="00097066">
        <w:rPr>
          <w:noProof/>
          <w:sz w:val="24"/>
          <w:szCs w:val="24"/>
        </w:rPr>
        <w:t xml:space="preserve">, </w:t>
      </w:r>
      <w:r w:rsidRPr="00097066">
        <w:rPr>
          <w:i/>
          <w:iCs/>
          <w:noProof/>
          <w:sz w:val="24"/>
          <w:szCs w:val="24"/>
        </w:rPr>
        <w:t>2</w:t>
      </w:r>
      <w:r w:rsidRPr="00097066">
        <w:rPr>
          <w:noProof/>
          <w:sz w:val="24"/>
          <w:szCs w:val="24"/>
        </w:rPr>
        <w:t>(3), 300–317. https://doi.org/10.55606/OPTIMAL.V2I3.511.</w:t>
      </w:r>
    </w:p>
    <w:p w14:paraId="0CB48611" w14:textId="4A5EF55F" w:rsidR="00D719F8" w:rsidRPr="00097066" w:rsidRDefault="00D719F8" w:rsidP="00097066">
      <w:pPr>
        <w:widowControl w:val="0"/>
        <w:autoSpaceDE w:val="0"/>
        <w:autoSpaceDN w:val="0"/>
        <w:adjustRightInd w:val="0"/>
        <w:ind w:left="720" w:hanging="720"/>
        <w:rPr>
          <w:noProof/>
          <w:sz w:val="24"/>
          <w:szCs w:val="24"/>
        </w:rPr>
      </w:pPr>
      <w:r w:rsidRPr="00097066">
        <w:rPr>
          <w:noProof/>
          <w:sz w:val="24"/>
          <w:szCs w:val="24"/>
        </w:rPr>
        <w:t xml:space="preserve">Ratih, N. R., Oktaviana, D., &amp; Kusumaningarti, M. (2022). Kinerja Keuangan Koperasi Sebelum Dan Saat Pandemi Covid-19 Terhadap Sisa Hasil Usaha. </w:t>
      </w:r>
      <w:r w:rsidRPr="00097066">
        <w:rPr>
          <w:iCs/>
          <w:noProof/>
          <w:sz w:val="24"/>
          <w:szCs w:val="24"/>
        </w:rPr>
        <w:t>JAS (Jurnal Akuntansi Syariah)</w:t>
      </w:r>
      <w:r w:rsidRPr="00097066">
        <w:rPr>
          <w:noProof/>
          <w:sz w:val="24"/>
          <w:szCs w:val="24"/>
        </w:rPr>
        <w:t xml:space="preserve">, </w:t>
      </w:r>
      <w:r w:rsidRPr="00097066">
        <w:rPr>
          <w:iCs/>
          <w:noProof/>
          <w:sz w:val="24"/>
          <w:szCs w:val="24"/>
        </w:rPr>
        <w:t>6</w:t>
      </w:r>
      <w:r w:rsidRPr="00097066">
        <w:rPr>
          <w:noProof/>
          <w:sz w:val="24"/>
          <w:szCs w:val="24"/>
        </w:rPr>
        <w:t xml:space="preserve">(2), 184–197. </w:t>
      </w:r>
    </w:p>
    <w:p w14:paraId="51735D1F" w14:textId="65D4A53B" w:rsidR="002F6FC4" w:rsidRPr="00097066" w:rsidRDefault="002F6FC4" w:rsidP="00097066">
      <w:pPr>
        <w:widowControl w:val="0"/>
        <w:autoSpaceDE w:val="0"/>
        <w:autoSpaceDN w:val="0"/>
        <w:adjustRightInd w:val="0"/>
        <w:ind w:left="720" w:hanging="720"/>
        <w:rPr>
          <w:noProof/>
          <w:sz w:val="24"/>
          <w:szCs w:val="24"/>
        </w:rPr>
      </w:pPr>
      <w:r w:rsidRPr="00097066">
        <w:rPr>
          <w:noProof/>
          <w:sz w:val="24"/>
          <w:szCs w:val="24"/>
        </w:rPr>
        <w:t>Yuliana, Alfi. 2018. Pengaruh Good Corporate Governance Terhadap Kinerja Perusahaan Dengan Karakteristik Perusahaan Sebagai Variabel Mediasi (Studi Empiris Pada Perusahaan BUMS Yang Terdaftar Di Indeks LQ45 Bursa Efek Indonesia Periode 2013-2016. Universitas Maulana Malik Ibrahim Malang.</w:t>
      </w:r>
    </w:p>
    <w:p w14:paraId="19C7A20E" w14:textId="0487FAEB" w:rsidR="00DC32DF" w:rsidRPr="003F3C77" w:rsidRDefault="00D719F8" w:rsidP="00097066">
      <w:pPr>
        <w:ind w:left="720" w:hanging="720"/>
        <w:rPr>
          <w:b/>
          <w:sz w:val="24"/>
          <w:szCs w:val="24"/>
        </w:rPr>
      </w:pPr>
      <w:r w:rsidRPr="00097066">
        <w:rPr>
          <w:b/>
          <w:bCs/>
          <w:sz w:val="24"/>
          <w:szCs w:val="24"/>
        </w:rPr>
        <w:fldChar w:fldCharType="end"/>
      </w:r>
    </w:p>
    <w:p w14:paraId="1AA0AD4F" w14:textId="77777777" w:rsidR="00500ED7" w:rsidRDefault="00500ED7" w:rsidP="00E74D48">
      <w:pPr>
        <w:ind w:left="850" w:hanging="850"/>
      </w:pPr>
    </w:p>
    <w:sectPr w:rsidR="00500ED7" w:rsidSect="00F67465">
      <w:headerReference w:type="default" r:id="rId11"/>
      <w:footerReference w:type="default" r:id="rId12"/>
      <w:headerReference w:type="first" r:id="rId13"/>
      <w:footerReference w:type="first" r:id="rId14"/>
      <w:pgSz w:w="11906" w:h="16838" w:code="9"/>
      <w:pgMar w:top="1701" w:right="1701" w:bottom="1701" w:left="2268" w:header="562" w:footer="706" w:gutter="0"/>
      <w:pgNumType w:start="70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89E3E" w14:textId="77777777" w:rsidR="00C3022D" w:rsidRDefault="00C3022D">
      <w:r>
        <w:separator/>
      </w:r>
    </w:p>
  </w:endnote>
  <w:endnote w:type="continuationSeparator" w:id="0">
    <w:p w14:paraId="38744D0B" w14:textId="77777777" w:rsidR="00C3022D" w:rsidRDefault="00C30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DAB4E" w14:textId="65C218DD" w:rsidR="0050014B" w:rsidRDefault="0050014B">
    <w:pPr>
      <w:pBdr>
        <w:top w:val="nil"/>
        <w:left w:val="nil"/>
        <w:bottom w:val="nil"/>
        <w:right w:val="nil"/>
        <w:between w:val="nil"/>
      </w:pBdr>
      <w:tabs>
        <w:tab w:val="center" w:pos="4513"/>
        <w:tab w:val="right" w:pos="9026"/>
      </w:tabs>
      <w:ind w:left="0" w:firstLine="0"/>
      <w:jc w:val="center"/>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sidR="001F1306">
      <w:rPr>
        <w:noProof/>
        <w:color w:val="000000"/>
      </w:rPr>
      <w:t>624</w:t>
    </w:r>
    <w:r>
      <w:rPr>
        <w:color w:val="000000"/>
      </w:rPr>
      <w:fldChar w:fldCharType="end"/>
    </w:r>
    <w:r>
      <w:rPr>
        <w:color w:val="000000"/>
      </w:rPr>
      <w:t xml:space="preserve"> -</w:t>
    </w:r>
  </w:p>
  <w:p w14:paraId="18F1819E" w14:textId="77777777" w:rsidR="0050014B" w:rsidRDefault="0050014B">
    <w:pPr>
      <w:pBdr>
        <w:top w:val="nil"/>
        <w:left w:val="nil"/>
        <w:bottom w:val="nil"/>
        <w:right w:val="nil"/>
        <w:between w:val="nil"/>
      </w:pBdr>
      <w:tabs>
        <w:tab w:val="center" w:pos="4513"/>
        <w:tab w:val="right" w:pos="9026"/>
      </w:tabs>
      <w:ind w:left="0" w:firstLine="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0258604"/>
      <w:docPartObj>
        <w:docPartGallery w:val="Page Numbers (Bottom of Page)"/>
        <w:docPartUnique/>
      </w:docPartObj>
    </w:sdtPr>
    <w:sdtEndPr>
      <w:rPr>
        <w:noProof/>
      </w:rPr>
    </w:sdtEndPr>
    <w:sdtContent>
      <w:p w14:paraId="3E5ECF6E" w14:textId="37A0D30D" w:rsidR="00303F2D" w:rsidRDefault="00303F2D" w:rsidP="00303F2D">
        <w:pPr>
          <w:pStyle w:val="Footer"/>
          <w:ind w:left="0"/>
          <w:jc w:val="center"/>
        </w:pPr>
        <w:r>
          <w:fldChar w:fldCharType="begin"/>
        </w:r>
        <w:r>
          <w:instrText xml:space="preserve"> PAGE   \* MERGEFORMAT </w:instrText>
        </w:r>
        <w:r>
          <w:fldChar w:fldCharType="separate"/>
        </w:r>
        <w:r w:rsidR="001F1306">
          <w:rPr>
            <w:noProof/>
          </w:rPr>
          <w:t>623</w:t>
        </w:r>
        <w:r>
          <w:rPr>
            <w:noProof/>
          </w:rPr>
          <w:fldChar w:fldCharType="end"/>
        </w:r>
      </w:p>
    </w:sdtContent>
  </w:sdt>
  <w:p w14:paraId="563911D5" w14:textId="5FE063BA" w:rsidR="0050014B" w:rsidRDefault="0050014B">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2A83E" w14:textId="77777777" w:rsidR="00C3022D" w:rsidRDefault="00C3022D">
      <w:r>
        <w:separator/>
      </w:r>
    </w:p>
  </w:footnote>
  <w:footnote w:type="continuationSeparator" w:id="0">
    <w:p w14:paraId="7EF22748" w14:textId="77777777" w:rsidR="00C3022D" w:rsidRDefault="00C30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BACB8" w14:textId="3002BAA6" w:rsidR="0050014B" w:rsidRPr="00097066" w:rsidRDefault="008B14DC">
    <w:pPr>
      <w:pBdr>
        <w:top w:val="nil"/>
        <w:left w:val="nil"/>
        <w:bottom w:val="nil"/>
        <w:right w:val="nil"/>
        <w:between w:val="nil"/>
      </w:pBdr>
      <w:tabs>
        <w:tab w:val="center" w:pos="4513"/>
        <w:tab w:val="right" w:pos="9026"/>
      </w:tabs>
      <w:ind w:left="0" w:firstLine="0"/>
      <w:jc w:val="center"/>
      <w:rPr>
        <w:i/>
        <w:color w:val="000000"/>
        <w:sz w:val="20"/>
        <w:szCs w:val="20"/>
        <w:lang w:val="en-US"/>
      </w:rPr>
    </w:pPr>
    <w:r w:rsidRPr="008B14DC">
      <w:rPr>
        <w:sz w:val="18"/>
        <w:szCs w:val="18"/>
        <w:shd w:val="clear" w:color="auto" w:fill="FFFFFF"/>
      </w:rPr>
      <w:t>Setiawan, R., Ratih, N., &amp; Kusumaningarti, M</w:t>
    </w:r>
    <w:r w:rsidR="0050014B">
      <w:rPr>
        <w:i/>
        <w:color w:val="000000"/>
        <w:sz w:val="20"/>
        <w:szCs w:val="20"/>
      </w:rPr>
      <w:t xml:space="preserve">. / Jurnal Ilmiah Wahana Pendidikan </w:t>
    </w:r>
    <w:r w:rsidR="00097066">
      <w:rPr>
        <w:i/>
        <w:color w:val="000000"/>
        <w:sz w:val="20"/>
        <w:szCs w:val="20"/>
        <w:lang w:val="en-US"/>
      </w:rPr>
      <w:t>10</w:t>
    </w:r>
    <w:r w:rsidR="0050014B">
      <w:rPr>
        <w:i/>
        <w:color w:val="000000"/>
        <w:sz w:val="20"/>
        <w:szCs w:val="20"/>
      </w:rPr>
      <w:t>(</w:t>
    </w:r>
    <w:r w:rsidR="00097066">
      <w:rPr>
        <w:i/>
        <w:color w:val="000000"/>
        <w:sz w:val="20"/>
        <w:szCs w:val="20"/>
        <w:lang w:val="en-US"/>
      </w:rPr>
      <w:t>1</w:t>
    </w:r>
    <w:r w:rsidR="0050014B">
      <w:rPr>
        <w:i/>
        <w:color w:val="000000"/>
        <w:sz w:val="20"/>
        <w:szCs w:val="20"/>
      </w:rPr>
      <w:t xml:space="preserve">1), </w:t>
    </w:r>
    <w:r w:rsidR="00F67465">
      <w:rPr>
        <w:i/>
        <w:color w:val="000000"/>
        <w:sz w:val="20"/>
        <w:szCs w:val="20"/>
        <w:lang w:val="en-US"/>
      </w:rPr>
      <w:t>700-708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133EF" w14:textId="77777777" w:rsidR="0050014B" w:rsidRDefault="0050014B">
    <w:pPr>
      <w:pBdr>
        <w:top w:val="nil"/>
        <w:left w:val="nil"/>
        <w:bottom w:val="nil"/>
        <w:right w:val="nil"/>
        <w:between w:val="nil"/>
      </w:pBdr>
      <w:tabs>
        <w:tab w:val="center" w:pos="4513"/>
        <w:tab w:val="right" w:pos="9026"/>
      </w:tabs>
      <w:ind w:left="-567" w:right="-994" w:firstLine="0"/>
      <w:jc w:val="left"/>
      <w:rPr>
        <w:b/>
        <w:color w:val="000000"/>
      </w:rPr>
    </w:pPr>
    <w:r>
      <w:rPr>
        <w:noProof/>
        <w:lang w:val="en-US" w:eastAsia="en-US"/>
      </w:rPr>
      <w:drawing>
        <wp:anchor distT="0" distB="0" distL="0" distR="0" simplePos="0" relativeHeight="251658240" behindDoc="1" locked="0" layoutInCell="1" hidden="0" allowOverlap="1" wp14:anchorId="58A1C5F3" wp14:editId="5133E287">
          <wp:simplePos x="0" y="0"/>
          <wp:positionH relativeFrom="column">
            <wp:posOffset>4286250</wp:posOffset>
          </wp:positionH>
          <wp:positionV relativeFrom="paragraph">
            <wp:posOffset>-323849</wp:posOffset>
          </wp:positionV>
          <wp:extent cx="915727" cy="967740"/>
          <wp:effectExtent l="0" t="0" r="0" b="0"/>
          <wp:wrapNone/>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915727" cy="967740"/>
                  </a:xfrm>
                  <a:prstGeom prst="rect">
                    <a:avLst/>
                  </a:prstGeom>
                  <a:ln/>
                </pic:spPr>
              </pic:pic>
            </a:graphicData>
          </a:graphic>
        </wp:anchor>
      </w:drawing>
    </w:r>
  </w:p>
  <w:p w14:paraId="5DC2466B" w14:textId="432AE9BD" w:rsidR="0050014B" w:rsidRPr="00097066" w:rsidRDefault="0050014B">
    <w:pPr>
      <w:pBdr>
        <w:top w:val="nil"/>
        <w:left w:val="nil"/>
        <w:bottom w:val="nil"/>
        <w:right w:val="nil"/>
        <w:between w:val="nil"/>
      </w:pBdr>
      <w:tabs>
        <w:tab w:val="center" w:pos="4513"/>
        <w:tab w:val="right" w:pos="9026"/>
      </w:tabs>
      <w:ind w:left="-567" w:right="-994" w:firstLine="0"/>
      <w:jc w:val="left"/>
      <w:rPr>
        <w:b/>
        <w:color w:val="000000"/>
        <w:lang w:val="en-US"/>
      </w:rPr>
    </w:pPr>
    <w:r>
      <w:rPr>
        <w:b/>
        <w:color w:val="000000"/>
      </w:rPr>
      <w:t>Jurnal Ilmiah Wahana Pe</w:t>
    </w:r>
    <w:r w:rsidR="00097066">
      <w:rPr>
        <w:b/>
        <w:color w:val="000000"/>
      </w:rPr>
      <w:t>ndidikan, Jun</w:t>
    </w:r>
    <w:r w:rsidR="00097066">
      <w:rPr>
        <w:b/>
        <w:color w:val="000000"/>
        <w:lang w:val="en-US"/>
      </w:rPr>
      <w:t>i</w:t>
    </w:r>
    <w:r w:rsidR="00097066">
      <w:rPr>
        <w:b/>
        <w:color w:val="000000"/>
      </w:rPr>
      <w:t xml:space="preserve"> 202</w:t>
    </w:r>
    <w:r w:rsidR="00097066">
      <w:rPr>
        <w:b/>
        <w:color w:val="000000"/>
        <w:lang w:val="en-US"/>
      </w:rPr>
      <w:t>4</w:t>
    </w:r>
    <w:r w:rsidR="00097066">
      <w:rPr>
        <w:b/>
        <w:color w:val="000000"/>
      </w:rPr>
      <w:t xml:space="preserve">, </w:t>
    </w:r>
    <w:r w:rsidR="00097066">
      <w:rPr>
        <w:b/>
        <w:color w:val="000000"/>
        <w:lang w:val="en-US"/>
      </w:rPr>
      <w:t>10</w:t>
    </w:r>
    <w:r w:rsidR="00097066">
      <w:rPr>
        <w:b/>
        <w:color w:val="000000"/>
      </w:rPr>
      <w:t>(</w:t>
    </w:r>
    <w:r w:rsidR="00097066">
      <w:rPr>
        <w:b/>
        <w:color w:val="000000"/>
        <w:lang w:val="en-US"/>
      </w:rPr>
      <w:t>11</w:t>
    </w:r>
    <w:r w:rsidR="00097066">
      <w:rPr>
        <w:b/>
        <w:color w:val="000000"/>
      </w:rPr>
      <w:t xml:space="preserve">), </w:t>
    </w:r>
    <w:r w:rsidR="00F67465">
      <w:rPr>
        <w:b/>
        <w:color w:val="000000"/>
        <w:lang w:val="en-US"/>
      </w:rPr>
      <w:t>700-708</w:t>
    </w:r>
  </w:p>
  <w:p w14:paraId="0114549C" w14:textId="6441B138" w:rsidR="0050014B" w:rsidRDefault="0050014B">
    <w:pPr>
      <w:pBdr>
        <w:top w:val="nil"/>
        <w:left w:val="nil"/>
        <w:bottom w:val="nil"/>
        <w:right w:val="nil"/>
        <w:between w:val="nil"/>
      </w:pBdr>
      <w:tabs>
        <w:tab w:val="center" w:pos="4513"/>
        <w:tab w:val="right" w:pos="9026"/>
      </w:tabs>
      <w:ind w:left="-567" w:right="-994" w:firstLine="0"/>
      <w:jc w:val="left"/>
      <w:rPr>
        <w:b/>
        <w:color w:val="000000"/>
      </w:rPr>
    </w:pPr>
    <w:r>
      <w:rPr>
        <w:color w:val="000000"/>
        <w:sz w:val="18"/>
        <w:szCs w:val="18"/>
      </w:rPr>
      <w:t>DOI:</w:t>
    </w:r>
    <w:r w:rsidR="008B14DC" w:rsidRPr="008B14DC">
      <w:rPr>
        <w:sz w:val="18"/>
        <w:szCs w:val="18"/>
        <w:shd w:val="clear" w:color="auto" w:fill="FFFFFF"/>
      </w:rPr>
      <w:t xml:space="preserve"> </w:t>
    </w:r>
    <w:hyperlink r:id="rId2" w:history="1">
      <w:r w:rsidR="008B14DC" w:rsidRPr="00A23A1B">
        <w:rPr>
          <w:rStyle w:val="Hyperlink"/>
          <w:sz w:val="18"/>
          <w:szCs w:val="18"/>
          <w:shd w:val="clear" w:color="auto" w:fill="FFFFFF"/>
        </w:rPr>
        <w:t>https://doi.org/10.5281/zenodo.12803775</w:t>
      </w:r>
    </w:hyperlink>
    <w:r w:rsidR="008B14DC">
      <w:rPr>
        <w:sz w:val="18"/>
        <w:szCs w:val="18"/>
        <w:shd w:val="clear" w:color="auto" w:fill="FFFFFF"/>
      </w:rPr>
      <w:t xml:space="preserve"> </w:t>
    </w:r>
    <w:r>
      <w:rPr>
        <w:color w:val="0070C0"/>
        <w:sz w:val="18"/>
        <w:szCs w:val="18"/>
      </w:rPr>
      <w:t xml:space="preserve"> </w:t>
    </w:r>
    <w:r>
      <w:rPr>
        <w:b/>
        <w:color w:val="0070C0"/>
      </w:rPr>
      <w:t xml:space="preserve">  </w:t>
    </w:r>
  </w:p>
  <w:p w14:paraId="03FEA111" w14:textId="77777777" w:rsidR="0050014B" w:rsidRDefault="0050014B">
    <w:pPr>
      <w:pBdr>
        <w:top w:val="nil"/>
        <w:left w:val="nil"/>
        <w:bottom w:val="nil"/>
        <w:right w:val="nil"/>
        <w:between w:val="nil"/>
      </w:pBdr>
      <w:tabs>
        <w:tab w:val="center" w:pos="4513"/>
        <w:tab w:val="right" w:pos="9026"/>
      </w:tabs>
      <w:ind w:left="-567" w:right="-994" w:firstLine="0"/>
      <w:rPr>
        <w:color w:val="000000"/>
        <w:sz w:val="18"/>
        <w:szCs w:val="18"/>
      </w:rPr>
    </w:pPr>
    <w:r>
      <w:rPr>
        <w:color w:val="000000"/>
        <w:sz w:val="18"/>
        <w:szCs w:val="18"/>
      </w:rPr>
      <w:t>p-ISSN: 2622-8327 e-ISSN: 2089-5364</w:t>
    </w:r>
  </w:p>
  <w:p w14:paraId="5A75CC16" w14:textId="77777777" w:rsidR="0050014B" w:rsidRDefault="0050014B">
    <w:pPr>
      <w:pBdr>
        <w:top w:val="nil"/>
        <w:left w:val="nil"/>
        <w:bottom w:val="nil"/>
        <w:right w:val="nil"/>
        <w:between w:val="nil"/>
      </w:pBdr>
      <w:tabs>
        <w:tab w:val="center" w:pos="4513"/>
        <w:tab w:val="right" w:pos="9026"/>
      </w:tabs>
      <w:ind w:left="-567" w:right="-994" w:firstLine="0"/>
      <w:rPr>
        <w:color w:val="000000"/>
        <w:sz w:val="18"/>
        <w:szCs w:val="18"/>
      </w:rPr>
    </w:pPr>
    <w:r>
      <w:rPr>
        <w:color w:val="000000"/>
        <w:sz w:val="18"/>
        <w:szCs w:val="18"/>
      </w:rPr>
      <w:t>Accredited by Directorate General of Strengthening for Research and Development</w:t>
    </w:r>
  </w:p>
  <w:p w14:paraId="74235531" w14:textId="77777777" w:rsidR="0050014B" w:rsidRDefault="0050014B">
    <w:pPr>
      <w:jc w:val="center"/>
      <w:rPr>
        <w:sz w:val="28"/>
        <w:szCs w:val="28"/>
      </w:rPr>
    </w:pPr>
    <w:r>
      <w:rPr>
        <w:sz w:val="18"/>
        <w:szCs w:val="18"/>
      </w:rPr>
      <w:t xml:space="preserve">                                              Available online at </w:t>
    </w:r>
    <w:hyperlink r:id="rId3">
      <w:r>
        <w:rPr>
          <w:color w:val="0000FF"/>
          <w:sz w:val="18"/>
          <w:szCs w:val="18"/>
          <w:u w:val="single"/>
        </w:rPr>
        <w:t>https://jurnal.peneliti.net/index.php/JIWP</w:t>
      </w:r>
    </w:hyperlink>
    <w:r>
      <w:rPr>
        <w:noProof/>
        <w:lang w:val="en-US" w:eastAsia="en-US"/>
      </w:rPr>
      <mc:AlternateContent>
        <mc:Choice Requires="wps">
          <w:drawing>
            <wp:anchor distT="0" distB="0" distL="114300" distR="114300" simplePos="0" relativeHeight="251659264" behindDoc="0" locked="0" layoutInCell="1" hidden="0" allowOverlap="1" wp14:anchorId="4E863A6C" wp14:editId="0E7C11DC">
              <wp:simplePos x="0" y="0"/>
              <wp:positionH relativeFrom="column">
                <wp:posOffset>-342899</wp:posOffset>
              </wp:positionH>
              <wp:positionV relativeFrom="paragraph">
                <wp:posOffset>190500</wp:posOffset>
              </wp:positionV>
              <wp:extent cx="0" cy="19050"/>
              <wp:effectExtent l="0" t="0" r="0" b="0"/>
              <wp:wrapNone/>
              <wp:docPr id="5" name="Straight Arrow Connector 5"/>
              <wp:cNvGraphicFramePr/>
              <a:graphic xmlns:a="http://schemas.openxmlformats.org/drawingml/2006/main">
                <a:graphicData uri="http://schemas.microsoft.com/office/word/2010/wordprocessingShape">
                  <wps:wsp>
                    <wps:cNvCnPr/>
                    <wps:spPr>
                      <a:xfrm>
                        <a:off x="2483738" y="3780000"/>
                        <a:ext cx="5724525"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w:pict>
            <v:shapetype w14:anchorId="70D25996" id="_x0000_t32" coordsize="21600,21600" o:spt="32" o:oned="t" path="m,l21600,21600e" filled="f">
              <v:path arrowok="t" fillok="f" o:connecttype="none"/>
              <o:lock v:ext="edit" shapetype="t"/>
            </v:shapetype>
            <v:shape id="Straight Arrow Connector 5" o:spid="_x0000_s1026" type="#_x0000_t32" style="position:absolute;margin-left:-27pt;margin-top:15pt;width:0;height: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" strokeweight="1.5pt"/>
          </w:pict>
        </mc:Fallback>
      </mc:AlternateContent>
    </w:r>
  </w:p>
  <w:p w14:paraId="33AE0520" w14:textId="3D75437A" w:rsidR="0050014B" w:rsidRPr="00097066" w:rsidRDefault="0050014B" w:rsidP="00097066">
    <w:pPr>
      <w:pBdr>
        <w:top w:val="nil"/>
        <w:left w:val="nil"/>
        <w:bottom w:val="nil"/>
        <w:right w:val="nil"/>
        <w:between w:val="nil"/>
      </w:pBdr>
      <w:tabs>
        <w:tab w:val="center" w:pos="4513"/>
        <w:tab w:val="right" w:pos="9026"/>
      </w:tabs>
      <w:ind w:left="-567" w:right="-427" w:firstLine="0"/>
      <w:jc w:val="right"/>
      <w:rPr>
        <w:color w:val="000000"/>
        <w:sz w:val="18"/>
        <w:szCs w:val="18"/>
        <w:lang w:val="en-US"/>
      </w:rPr>
    </w:pPr>
    <w:r>
      <w:rPr>
        <w:color w:val="000000"/>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3387E"/>
    <w:multiLevelType w:val="hybridMultilevel"/>
    <w:tmpl w:val="0B841930"/>
    <w:lvl w:ilvl="0" w:tplc="BE64896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67163"/>
    <w:multiLevelType w:val="multilevel"/>
    <w:tmpl w:val="741CE934"/>
    <w:lvl w:ilvl="0">
      <w:start w:val="1"/>
      <w:numFmt w:val="decimal"/>
      <w:lvlText w:val="%1."/>
      <w:lvlJc w:val="left"/>
      <w:pPr>
        <w:ind w:left="644" w:hanging="360"/>
      </w:pPr>
      <w:rPr>
        <w:rFonts w:hint="default"/>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1288" w:hanging="720"/>
      </w:pPr>
      <w:rPr>
        <w:rFonts w:hint="default"/>
        <w:color w:val="auto"/>
      </w:rPr>
    </w:lvl>
    <w:lvl w:ilvl="3">
      <w:start w:val="1"/>
      <w:numFmt w:val="decimal"/>
      <w:isLgl/>
      <w:lvlText w:val="%1.%2.%3.%4"/>
      <w:lvlJc w:val="left"/>
      <w:pPr>
        <w:ind w:left="1430" w:hanging="720"/>
      </w:pPr>
      <w:rPr>
        <w:rFonts w:hint="default"/>
        <w:i w:val="0"/>
        <w:color w:val="auto"/>
      </w:rPr>
    </w:lvl>
    <w:lvl w:ilvl="4">
      <w:start w:val="1"/>
      <w:numFmt w:val="decimal"/>
      <w:isLgl/>
      <w:lvlText w:val="%1.%2.%3.%4.%5"/>
      <w:lvlJc w:val="left"/>
      <w:pPr>
        <w:ind w:left="1932" w:hanging="1080"/>
      </w:pPr>
      <w:rPr>
        <w:rFonts w:hint="default"/>
        <w:color w:val="auto"/>
      </w:rPr>
    </w:lvl>
    <w:lvl w:ilvl="5">
      <w:start w:val="1"/>
      <w:numFmt w:val="decimal"/>
      <w:isLgl/>
      <w:lvlText w:val="%1.%2.%3.%4.%5.%6"/>
      <w:lvlJc w:val="left"/>
      <w:pPr>
        <w:ind w:left="2074" w:hanging="1080"/>
      </w:pPr>
      <w:rPr>
        <w:rFonts w:hint="default"/>
        <w:color w:val="auto"/>
      </w:rPr>
    </w:lvl>
    <w:lvl w:ilvl="6">
      <w:start w:val="1"/>
      <w:numFmt w:val="decimal"/>
      <w:isLgl/>
      <w:lvlText w:val="%1.%2.%3.%4.%5.%6.%7"/>
      <w:lvlJc w:val="left"/>
      <w:pPr>
        <w:ind w:left="2576" w:hanging="1440"/>
      </w:pPr>
      <w:rPr>
        <w:rFonts w:hint="default"/>
        <w:color w:val="auto"/>
      </w:rPr>
    </w:lvl>
    <w:lvl w:ilvl="7">
      <w:start w:val="1"/>
      <w:numFmt w:val="decimal"/>
      <w:isLgl/>
      <w:lvlText w:val="%1.%2.%3.%4.%5.%6.%7.%8"/>
      <w:lvlJc w:val="left"/>
      <w:pPr>
        <w:ind w:left="2718" w:hanging="1440"/>
      </w:pPr>
      <w:rPr>
        <w:rFonts w:hint="default"/>
        <w:color w:val="auto"/>
      </w:rPr>
    </w:lvl>
    <w:lvl w:ilvl="8">
      <w:start w:val="1"/>
      <w:numFmt w:val="decimal"/>
      <w:isLgl/>
      <w:lvlText w:val="%1.%2.%3.%4.%5.%6.%7.%8.%9"/>
      <w:lvlJc w:val="left"/>
      <w:pPr>
        <w:ind w:left="3220" w:hanging="1800"/>
      </w:pPr>
      <w:rPr>
        <w:rFonts w:hint="default"/>
        <w:color w:val="auto"/>
      </w:rPr>
    </w:lvl>
  </w:abstractNum>
  <w:abstractNum w:abstractNumId="2" w15:restartNumberingAfterBreak="0">
    <w:nsid w:val="24551133"/>
    <w:multiLevelType w:val="hybridMultilevel"/>
    <w:tmpl w:val="5EA8B4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C5748AF"/>
    <w:multiLevelType w:val="hybridMultilevel"/>
    <w:tmpl w:val="2F0C6274"/>
    <w:lvl w:ilvl="0" w:tplc="BE64896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E5415A"/>
    <w:multiLevelType w:val="hybridMultilevel"/>
    <w:tmpl w:val="74289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834DB7"/>
    <w:multiLevelType w:val="hybridMultilevel"/>
    <w:tmpl w:val="73C83F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0FD6105"/>
    <w:multiLevelType w:val="hybridMultilevel"/>
    <w:tmpl w:val="0EB0C73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2A14C2D"/>
    <w:multiLevelType w:val="hybridMultilevel"/>
    <w:tmpl w:val="0F94FD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8B1786A"/>
    <w:multiLevelType w:val="multilevel"/>
    <w:tmpl w:val="84B6D1AA"/>
    <w:lvl w:ilvl="0">
      <w:start w:val="1"/>
      <w:numFmt w:val="decimal"/>
      <w:lvlText w:val="%1."/>
      <w:lvlJc w:val="left"/>
      <w:pPr>
        <w:ind w:left="360" w:hanging="360"/>
      </w:pPr>
      <w:rPr>
        <w:rFonts w:ascii="Times New Roman" w:eastAsiaTheme="minorHAnsi" w:hAnsi="Times New Roman" w:cs="Times New Roman"/>
        <w:b w:val="0"/>
        <w:bCs/>
        <w:color w:val="auto"/>
      </w:rPr>
    </w:lvl>
    <w:lvl w:ilvl="1">
      <w:start w:val="1"/>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abstractNum w:abstractNumId="9" w15:restartNumberingAfterBreak="0">
    <w:nsid w:val="53662960"/>
    <w:multiLevelType w:val="hybridMultilevel"/>
    <w:tmpl w:val="EDD471E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6191332E"/>
    <w:multiLevelType w:val="hybridMultilevel"/>
    <w:tmpl w:val="D68AFF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7F0417F7"/>
    <w:multiLevelType w:val="hybridMultilevel"/>
    <w:tmpl w:val="36248FA0"/>
    <w:lvl w:ilvl="0" w:tplc="38090019">
      <w:start w:val="2"/>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784276652">
    <w:abstractNumId w:val="10"/>
  </w:num>
  <w:num w:numId="2" w16cid:durableId="240792159">
    <w:abstractNumId w:val="9"/>
  </w:num>
  <w:num w:numId="3" w16cid:durableId="103547688">
    <w:abstractNumId w:val="5"/>
  </w:num>
  <w:num w:numId="4" w16cid:durableId="2139107890">
    <w:abstractNumId w:val="7"/>
  </w:num>
  <w:num w:numId="5" w16cid:durableId="657071757">
    <w:abstractNumId w:val="6"/>
  </w:num>
  <w:num w:numId="6" w16cid:durableId="317466831">
    <w:abstractNumId w:val="1"/>
  </w:num>
  <w:num w:numId="7" w16cid:durableId="1824001956">
    <w:abstractNumId w:val="8"/>
  </w:num>
  <w:num w:numId="8" w16cid:durableId="778524210">
    <w:abstractNumId w:val="2"/>
  </w:num>
  <w:num w:numId="9" w16cid:durableId="1908763201">
    <w:abstractNumId w:val="11"/>
  </w:num>
  <w:num w:numId="10" w16cid:durableId="174808194">
    <w:abstractNumId w:val="0"/>
  </w:num>
  <w:num w:numId="11" w16cid:durableId="921598844">
    <w:abstractNumId w:val="3"/>
  </w:num>
  <w:num w:numId="12" w16cid:durableId="89832101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0ED7"/>
    <w:rsid w:val="00097066"/>
    <w:rsid w:val="00101FE6"/>
    <w:rsid w:val="0010458B"/>
    <w:rsid w:val="00181975"/>
    <w:rsid w:val="001F1306"/>
    <w:rsid w:val="00265D2E"/>
    <w:rsid w:val="0029412D"/>
    <w:rsid w:val="002F6FC4"/>
    <w:rsid w:val="00303F2D"/>
    <w:rsid w:val="003262C9"/>
    <w:rsid w:val="003C1002"/>
    <w:rsid w:val="003D67CE"/>
    <w:rsid w:val="00414BB5"/>
    <w:rsid w:val="0045192F"/>
    <w:rsid w:val="0050014B"/>
    <w:rsid w:val="00500ED7"/>
    <w:rsid w:val="005155C9"/>
    <w:rsid w:val="005B3906"/>
    <w:rsid w:val="006967C4"/>
    <w:rsid w:val="006D5C80"/>
    <w:rsid w:val="006E581B"/>
    <w:rsid w:val="006F2108"/>
    <w:rsid w:val="007965B9"/>
    <w:rsid w:val="007B1E43"/>
    <w:rsid w:val="007E3264"/>
    <w:rsid w:val="008626B9"/>
    <w:rsid w:val="008B14DC"/>
    <w:rsid w:val="00910B4D"/>
    <w:rsid w:val="0098424D"/>
    <w:rsid w:val="00990652"/>
    <w:rsid w:val="00A8478F"/>
    <w:rsid w:val="00B61BFC"/>
    <w:rsid w:val="00B84DB8"/>
    <w:rsid w:val="00BB4783"/>
    <w:rsid w:val="00BB6DFA"/>
    <w:rsid w:val="00C3022D"/>
    <w:rsid w:val="00C66385"/>
    <w:rsid w:val="00CD2678"/>
    <w:rsid w:val="00D719F8"/>
    <w:rsid w:val="00D77545"/>
    <w:rsid w:val="00DC32DF"/>
    <w:rsid w:val="00E224C8"/>
    <w:rsid w:val="00E23FD6"/>
    <w:rsid w:val="00E7120E"/>
    <w:rsid w:val="00E71296"/>
    <w:rsid w:val="00E71617"/>
    <w:rsid w:val="00E74D48"/>
    <w:rsid w:val="00F3283D"/>
    <w:rsid w:val="00F67465"/>
    <w:rsid w:val="00FD6ED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393E5"/>
  <w15:docId w15:val="{D0B5E204-E565-4420-8449-74F6363EE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id-ID" w:eastAsia="id-ID" w:bidi="ar-SA"/>
      </w:rPr>
    </w:rPrDefault>
    <w:pPrDefault>
      <w:pPr>
        <w:ind w:left="709"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9F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F7CBE"/>
    <w:pPr>
      <w:tabs>
        <w:tab w:val="center" w:pos="4513"/>
        <w:tab w:val="right" w:pos="9026"/>
      </w:tabs>
    </w:pPr>
  </w:style>
  <w:style w:type="character" w:customStyle="1" w:styleId="HeaderChar">
    <w:name w:val="Header Char"/>
    <w:basedOn w:val="DefaultParagraphFont"/>
    <w:link w:val="Header"/>
    <w:uiPriority w:val="99"/>
    <w:rsid w:val="003F7CBE"/>
  </w:style>
  <w:style w:type="paragraph" w:styleId="Footer">
    <w:name w:val="footer"/>
    <w:basedOn w:val="Normal"/>
    <w:link w:val="FooterChar"/>
    <w:uiPriority w:val="99"/>
    <w:unhideWhenUsed/>
    <w:rsid w:val="003F7CBE"/>
    <w:pPr>
      <w:tabs>
        <w:tab w:val="center" w:pos="4513"/>
        <w:tab w:val="right" w:pos="9026"/>
      </w:tabs>
    </w:pPr>
  </w:style>
  <w:style w:type="character" w:customStyle="1" w:styleId="FooterChar">
    <w:name w:val="Footer Char"/>
    <w:basedOn w:val="DefaultParagraphFont"/>
    <w:link w:val="Footer"/>
    <w:uiPriority w:val="99"/>
    <w:rsid w:val="003F7CBE"/>
  </w:style>
  <w:style w:type="table" w:styleId="TableGrid">
    <w:name w:val="Table Grid"/>
    <w:basedOn w:val="TableNormal"/>
    <w:uiPriority w:val="39"/>
    <w:rsid w:val="003F7CB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60C6B"/>
    <w:rPr>
      <w:color w:val="0000FF" w:themeColor="hyperlink"/>
      <w:u w:val="single"/>
    </w:rPr>
  </w:style>
  <w:style w:type="paragraph" w:styleId="BalloonText">
    <w:name w:val="Balloon Text"/>
    <w:basedOn w:val="Normal"/>
    <w:link w:val="BalloonTextChar"/>
    <w:uiPriority w:val="99"/>
    <w:semiHidden/>
    <w:unhideWhenUsed/>
    <w:rsid w:val="00B27BD9"/>
    <w:rPr>
      <w:rFonts w:ascii="Tahoma" w:hAnsi="Tahoma" w:cs="Tahoma"/>
      <w:sz w:val="16"/>
      <w:szCs w:val="16"/>
    </w:rPr>
  </w:style>
  <w:style w:type="character" w:customStyle="1" w:styleId="BalloonTextChar">
    <w:name w:val="Balloon Text Char"/>
    <w:basedOn w:val="DefaultParagraphFont"/>
    <w:link w:val="BalloonText"/>
    <w:uiPriority w:val="99"/>
    <w:semiHidden/>
    <w:rsid w:val="00B27BD9"/>
    <w:rPr>
      <w:rFonts w:ascii="Tahoma" w:hAnsi="Tahoma" w:cs="Tahoma"/>
      <w:sz w:val="16"/>
      <w:szCs w:val="16"/>
    </w:rPr>
  </w:style>
  <w:style w:type="character" w:customStyle="1" w:styleId="UnresolvedMention1">
    <w:name w:val="Unresolved Mention1"/>
    <w:basedOn w:val="DefaultParagraphFont"/>
    <w:uiPriority w:val="99"/>
    <w:semiHidden/>
    <w:unhideWhenUsed/>
    <w:rsid w:val="009455B4"/>
    <w:rPr>
      <w:color w:val="605E5C"/>
      <w:shd w:val="clear" w:color="auto" w:fill="E1DFDD"/>
    </w:rPr>
  </w:style>
  <w:style w:type="paragraph" w:styleId="ListParagraph">
    <w:name w:val="List Paragraph"/>
    <w:aliases w:val="Body of text,List Paragraph1"/>
    <w:basedOn w:val="Normal"/>
    <w:link w:val="ListParagraphChar"/>
    <w:uiPriority w:val="34"/>
    <w:qFormat/>
    <w:rsid w:val="0025641A"/>
    <w:pPr>
      <w:ind w:left="720"/>
      <w:contextualSpacing/>
    </w:pPr>
  </w:style>
  <w:style w:type="character" w:customStyle="1" w:styleId="ListParagraphChar">
    <w:name w:val="List Paragraph Char"/>
    <w:aliases w:val="Body of text Char,List Paragraph1 Char"/>
    <w:link w:val="ListParagraph"/>
    <w:uiPriority w:val="34"/>
    <w:locked/>
    <w:rsid w:val="00B83E39"/>
  </w:style>
  <w:style w:type="paragraph" w:styleId="NormalWeb">
    <w:name w:val="Normal (Web)"/>
    <w:basedOn w:val="Normal"/>
    <w:uiPriority w:val="99"/>
    <w:semiHidden/>
    <w:unhideWhenUsed/>
    <w:rsid w:val="00B83E39"/>
    <w:pPr>
      <w:spacing w:before="100" w:beforeAutospacing="1" w:after="100" w:afterAutospacing="1"/>
      <w:ind w:left="0" w:firstLine="0"/>
      <w:jc w:val="left"/>
    </w:pPr>
    <w:rPr>
      <w:sz w:val="24"/>
      <w:szCs w:val="24"/>
      <w:lang w:val="en-US"/>
    </w:rPr>
  </w:style>
  <w:style w:type="character" w:styleId="Emphasis">
    <w:name w:val="Emphasis"/>
    <w:basedOn w:val="DefaultParagraphFont"/>
    <w:uiPriority w:val="20"/>
    <w:qFormat/>
    <w:rsid w:val="00B83E39"/>
    <w:rPr>
      <w:i/>
      <w:iCs/>
    </w:rPr>
  </w:style>
  <w:style w:type="paragraph" w:styleId="HTMLPreformatted">
    <w:name w:val="HTML Preformatted"/>
    <w:basedOn w:val="Normal"/>
    <w:link w:val="HTMLPreformattedChar"/>
    <w:uiPriority w:val="99"/>
    <w:semiHidden/>
    <w:unhideWhenUsed/>
    <w:rsid w:val="00676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676AA1"/>
    <w:rPr>
      <w:rFonts w:ascii="Courier New" w:eastAsia="Times New Roman" w:hAnsi="Courier New" w:cs="Courier New"/>
      <w:sz w:val="20"/>
      <w:szCs w:val="20"/>
      <w:lang w:val="en-GB"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Strong">
    <w:name w:val="Strong"/>
    <w:basedOn w:val="DefaultParagraphFont"/>
    <w:uiPriority w:val="22"/>
    <w:qFormat/>
    <w:rsid w:val="0050014B"/>
    <w:rPr>
      <w:b/>
      <w:bCs/>
    </w:rPr>
  </w:style>
  <w:style w:type="character" w:customStyle="1" w:styleId="UnresolvedMention2">
    <w:name w:val="Unresolved Mention2"/>
    <w:basedOn w:val="DefaultParagraphFont"/>
    <w:uiPriority w:val="99"/>
    <w:semiHidden/>
    <w:unhideWhenUsed/>
    <w:rsid w:val="00181975"/>
    <w:rPr>
      <w:color w:val="605E5C"/>
      <w:shd w:val="clear" w:color="auto" w:fill="E1DFDD"/>
    </w:rPr>
  </w:style>
  <w:style w:type="character" w:styleId="UnresolvedMention">
    <w:name w:val="Unresolved Mention"/>
    <w:basedOn w:val="DefaultParagraphFont"/>
    <w:uiPriority w:val="99"/>
    <w:semiHidden/>
    <w:unhideWhenUsed/>
    <w:rsid w:val="008B14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01345">
      <w:bodyDiv w:val="1"/>
      <w:marLeft w:val="0"/>
      <w:marRight w:val="0"/>
      <w:marTop w:val="0"/>
      <w:marBottom w:val="0"/>
      <w:divBdr>
        <w:top w:val="none" w:sz="0" w:space="0" w:color="auto"/>
        <w:left w:val="none" w:sz="0" w:space="0" w:color="auto"/>
        <w:bottom w:val="none" w:sz="0" w:space="0" w:color="auto"/>
        <w:right w:val="none" w:sz="0" w:space="0" w:color="auto"/>
      </w:divBdr>
      <w:divsChild>
        <w:div w:id="404454819">
          <w:marLeft w:val="0"/>
          <w:marRight w:val="0"/>
          <w:marTop w:val="0"/>
          <w:marBottom w:val="0"/>
          <w:divBdr>
            <w:top w:val="none" w:sz="0" w:space="0" w:color="auto"/>
            <w:left w:val="none" w:sz="0" w:space="0" w:color="auto"/>
            <w:bottom w:val="none" w:sz="0" w:space="0" w:color="auto"/>
            <w:right w:val="none" w:sz="0" w:space="0" w:color="auto"/>
          </w:divBdr>
          <w:divsChild>
            <w:div w:id="1632898266">
              <w:marLeft w:val="0"/>
              <w:marRight w:val="0"/>
              <w:marTop w:val="0"/>
              <w:marBottom w:val="0"/>
              <w:divBdr>
                <w:top w:val="none" w:sz="0" w:space="0" w:color="auto"/>
                <w:left w:val="none" w:sz="0" w:space="0" w:color="auto"/>
                <w:bottom w:val="none" w:sz="0" w:space="0" w:color="auto"/>
                <w:right w:val="none" w:sz="0" w:space="0" w:color="auto"/>
              </w:divBdr>
              <w:divsChild>
                <w:div w:id="171797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93332">
      <w:bodyDiv w:val="1"/>
      <w:marLeft w:val="0"/>
      <w:marRight w:val="0"/>
      <w:marTop w:val="0"/>
      <w:marBottom w:val="0"/>
      <w:divBdr>
        <w:top w:val="none" w:sz="0" w:space="0" w:color="auto"/>
        <w:left w:val="none" w:sz="0" w:space="0" w:color="auto"/>
        <w:bottom w:val="none" w:sz="0" w:space="0" w:color="auto"/>
        <w:right w:val="none" w:sz="0" w:space="0" w:color="auto"/>
      </w:divBdr>
      <w:divsChild>
        <w:div w:id="143091212">
          <w:marLeft w:val="0"/>
          <w:marRight w:val="0"/>
          <w:marTop w:val="0"/>
          <w:marBottom w:val="0"/>
          <w:divBdr>
            <w:top w:val="none" w:sz="0" w:space="0" w:color="auto"/>
            <w:left w:val="none" w:sz="0" w:space="0" w:color="auto"/>
            <w:bottom w:val="none" w:sz="0" w:space="0" w:color="auto"/>
            <w:right w:val="none" w:sz="0" w:space="0" w:color="auto"/>
          </w:divBdr>
          <w:divsChild>
            <w:div w:id="1964537431">
              <w:marLeft w:val="0"/>
              <w:marRight w:val="0"/>
              <w:marTop w:val="0"/>
              <w:marBottom w:val="0"/>
              <w:divBdr>
                <w:top w:val="none" w:sz="0" w:space="0" w:color="auto"/>
                <w:left w:val="none" w:sz="0" w:space="0" w:color="auto"/>
                <w:bottom w:val="none" w:sz="0" w:space="0" w:color="auto"/>
                <w:right w:val="none" w:sz="0" w:space="0" w:color="auto"/>
              </w:divBdr>
              <w:divsChild>
                <w:div w:id="63965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75446">
      <w:bodyDiv w:val="1"/>
      <w:marLeft w:val="0"/>
      <w:marRight w:val="0"/>
      <w:marTop w:val="0"/>
      <w:marBottom w:val="0"/>
      <w:divBdr>
        <w:top w:val="none" w:sz="0" w:space="0" w:color="auto"/>
        <w:left w:val="none" w:sz="0" w:space="0" w:color="auto"/>
        <w:bottom w:val="none" w:sz="0" w:space="0" w:color="auto"/>
        <w:right w:val="none" w:sz="0" w:space="0" w:color="auto"/>
      </w:divBdr>
      <w:divsChild>
        <w:div w:id="1753429916">
          <w:marLeft w:val="0"/>
          <w:marRight w:val="0"/>
          <w:marTop w:val="0"/>
          <w:marBottom w:val="0"/>
          <w:divBdr>
            <w:top w:val="none" w:sz="0" w:space="0" w:color="auto"/>
            <w:left w:val="none" w:sz="0" w:space="0" w:color="auto"/>
            <w:bottom w:val="none" w:sz="0" w:space="0" w:color="auto"/>
            <w:right w:val="none" w:sz="0" w:space="0" w:color="auto"/>
          </w:divBdr>
          <w:divsChild>
            <w:div w:id="1597128831">
              <w:marLeft w:val="0"/>
              <w:marRight w:val="0"/>
              <w:marTop w:val="0"/>
              <w:marBottom w:val="0"/>
              <w:divBdr>
                <w:top w:val="none" w:sz="0" w:space="0" w:color="auto"/>
                <w:left w:val="none" w:sz="0" w:space="0" w:color="auto"/>
                <w:bottom w:val="none" w:sz="0" w:space="0" w:color="auto"/>
                <w:right w:val="none" w:sz="0" w:space="0" w:color="auto"/>
              </w:divBdr>
              <w:divsChild>
                <w:div w:id="26419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71968">
      <w:bodyDiv w:val="1"/>
      <w:marLeft w:val="0"/>
      <w:marRight w:val="0"/>
      <w:marTop w:val="0"/>
      <w:marBottom w:val="0"/>
      <w:divBdr>
        <w:top w:val="none" w:sz="0" w:space="0" w:color="auto"/>
        <w:left w:val="none" w:sz="0" w:space="0" w:color="auto"/>
        <w:bottom w:val="none" w:sz="0" w:space="0" w:color="auto"/>
        <w:right w:val="none" w:sz="0" w:space="0" w:color="auto"/>
      </w:divBdr>
      <w:divsChild>
        <w:div w:id="21172566">
          <w:marLeft w:val="0"/>
          <w:marRight w:val="0"/>
          <w:marTop w:val="0"/>
          <w:marBottom w:val="0"/>
          <w:divBdr>
            <w:top w:val="none" w:sz="0" w:space="0" w:color="auto"/>
            <w:left w:val="none" w:sz="0" w:space="0" w:color="auto"/>
            <w:bottom w:val="none" w:sz="0" w:space="0" w:color="auto"/>
            <w:right w:val="none" w:sz="0" w:space="0" w:color="auto"/>
          </w:divBdr>
          <w:divsChild>
            <w:div w:id="478152724">
              <w:marLeft w:val="0"/>
              <w:marRight w:val="0"/>
              <w:marTop w:val="0"/>
              <w:marBottom w:val="0"/>
              <w:divBdr>
                <w:top w:val="none" w:sz="0" w:space="0" w:color="auto"/>
                <w:left w:val="none" w:sz="0" w:space="0" w:color="auto"/>
                <w:bottom w:val="none" w:sz="0" w:space="0" w:color="auto"/>
                <w:right w:val="none" w:sz="0" w:space="0" w:color="auto"/>
              </w:divBdr>
              <w:divsChild>
                <w:div w:id="190070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4022">
      <w:bodyDiv w:val="1"/>
      <w:marLeft w:val="0"/>
      <w:marRight w:val="0"/>
      <w:marTop w:val="0"/>
      <w:marBottom w:val="0"/>
      <w:divBdr>
        <w:top w:val="none" w:sz="0" w:space="0" w:color="auto"/>
        <w:left w:val="none" w:sz="0" w:space="0" w:color="auto"/>
        <w:bottom w:val="none" w:sz="0" w:space="0" w:color="auto"/>
        <w:right w:val="none" w:sz="0" w:space="0" w:color="auto"/>
      </w:divBdr>
      <w:divsChild>
        <w:div w:id="1830250028">
          <w:marLeft w:val="0"/>
          <w:marRight w:val="0"/>
          <w:marTop w:val="0"/>
          <w:marBottom w:val="0"/>
          <w:divBdr>
            <w:top w:val="none" w:sz="0" w:space="0" w:color="auto"/>
            <w:left w:val="none" w:sz="0" w:space="0" w:color="auto"/>
            <w:bottom w:val="none" w:sz="0" w:space="0" w:color="auto"/>
            <w:right w:val="none" w:sz="0" w:space="0" w:color="auto"/>
          </w:divBdr>
          <w:divsChild>
            <w:div w:id="1218593933">
              <w:marLeft w:val="0"/>
              <w:marRight w:val="0"/>
              <w:marTop w:val="0"/>
              <w:marBottom w:val="0"/>
              <w:divBdr>
                <w:top w:val="none" w:sz="0" w:space="0" w:color="auto"/>
                <w:left w:val="none" w:sz="0" w:space="0" w:color="auto"/>
                <w:bottom w:val="none" w:sz="0" w:space="0" w:color="auto"/>
                <w:right w:val="none" w:sz="0" w:space="0" w:color="auto"/>
              </w:divBdr>
              <w:divsChild>
                <w:div w:id="63460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51446">
      <w:bodyDiv w:val="1"/>
      <w:marLeft w:val="0"/>
      <w:marRight w:val="0"/>
      <w:marTop w:val="0"/>
      <w:marBottom w:val="0"/>
      <w:divBdr>
        <w:top w:val="none" w:sz="0" w:space="0" w:color="auto"/>
        <w:left w:val="none" w:sz="0" w:space="0" w:color="auto"/>
        <w:bottom w:val="none" w:sz="0" w:space="0" w:color="auto"/>
        <w:right w:val="none" w:sz="0" w:space="0" w:color="auto"/>
      </w:divBdr>
      <w:divsChild>
        <w:div w:id="1857377602">
          <w:marLeft w:val="0"/>
          <w:marRight w:val="0"/>
          <w:marTop w:val="0"/>
          <w:marBottom w:val="0"/>
          <w:divBdr>
            <w:top w:val="none" w:sz="0" w:space="0" w:color="auto"/>
            <w:left w:val="none" w:sz="0" w:space="0" w:color="auto"/>
            <w:bottom w:val="none" w:sz="0" w:space="0" w:color="auto"/>
            <w:right w:val="none" w:sz="0" w:space="0" w:color="auto"/>
          </w:divBdr>
          <w:divsChild>
            <w:div w:id="1316764222">
              <w:marLeft w:val="0"/>
              <w:marRight w:val="0"/>
              <w:marTop w:val="0"/>
              <w:marBottom w:val="0"/>
              <w:divBdr>
                <w:top w:val="none" w:sz="0" w:space="0" w:color="auto"/>
                <w:left w:val="none" w:sz="0" w:space="0" w:color="auto"/>
                <w:bottom w:val="none" w:sz="0" w:space="0" w:color="auto"/>
                <w:right w:val="none" w:sz="0" w:space="0" w:color="auto"/>
              </w:divBdr>
              <w:divsChild>
                <w:div w:id="144626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924282">
      <w:bodyDiv w:val="1"/>
      <w:marLeft w:val="0"/>
      <w:marRight w:val="0"/>
      <w:marTop w:val="0"/>
      <w:marBottom w:val="0"/>
      <w:divBdr>
        <w:top w:val="none" w:sz="0" w:space="0" w:color="auto"/>
        <w:left w:val="none" w:sz="0" w:space="0" w:color="auto"/>
        <w:bottom w:val="none" w:sz="0" w:space="0" w:color="auto"/>
        <w:right w:val="none" w:sz="0" w:space="0" w:color="auto"/>
      </w:divBdr>
      <w:divsChild>
        <w:div w:id="1564020158">
          <w:marLeft w:val="0"/>
          <w:marRight w:val="0"/>
          <w:marTop w:val="0"/>
          <w:marBottom w:val="0"/>
          <w:divBdr>
            <w:top w:val="none" w:sz="0" w:space="0" w:color="auto"/>
            <w:left w:val="none" w:sz="0" w:space="0" w:color="auto"/>
            <w:bottom w:val="none" w:sz="0" w:space="0" w:color="auto"/>
            <w:right w:val="none" w:sz="0" w:space="0" w:color="auto"/>
          </w:divBdr>
          <w:divsChild>
            <w:div w:id="1249968144">
              <w:marLeft w:val="0"/>
              <w:marRight w:val="0"/>
              <w:marTop w:val="0"/>
              <w:marBottom w:val="0"/>
              <w:divBdr>
                <w:top w:val="none" w:sz="0" w:space="0" w:color="auto"/>
                <w:left w:val="none" w:sz="0" w:space="0" w:color="auto"/>
                <w:bottom w:val="none" w:sz="0" w:space="0" w:color="auto"/>
                <w:right w:val="none" w:sz="0" w:space="0" w:color="auto"/>
              </w:divBdr>
              <w:divsChild>
                <w:div w:id="49587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19518">
          <w:marLeft w:val="0"/>
          <w:marRight w:val="0"/>
          <w:marTop w:val="0"/>
          <w:marBottom w:val="0"/>
          <w:divBdr>
            <w:top w:val="none" w:sz="0" w:space="0" w:color="auto"/>
            <w:left w:val="none" w:sz="0" w:space="0" w:color="auto"/>
            <w:bottom w:val="none" w:sz="0" w:space="0" w:color="auto"/>
            <w:right w:val="none" w:sz="0" w:space="0" w:color="auto"/>
          </w:divBdr>
          <w:divsChild>
            <w:div w:id="498808113">
              <w:marLeft w:val="0"/>
              <w:marRight w:val="0"/>
              <w:marTop w:val="0"/>
              <w:marBottom w:val="0"/>
              <w:divBdr>
                <w:top w:val="none" w:sz="0" w:space="0" w:color="auto"/>
                <w:left w:val="none" w:sz="0" w:space="0" w:color="auto"/>
                <w:bottom w:val="none" w:sz="0" w:space="0" w:color="auto"/>
                <w:right w:val="none" w:sz="0" w:space="0" w:color="auto"/>
              </w:divBdr>
              <w:divsChild>
                <w:div w:id="858809889">
                  <w:marLeft w:val="0"/>
                  <w:marRight w:val="0"/>
                  <w:marTop w:val="0"/>
                  <w:marBottom w:val="0"/>
                  <w:divBdr>
                    <w:top w:val="none" w:sz="0" w:space="0" w:color="auto"/>
                    <w:left w:val="none" w:sz="0" w:space="0" w:color="auto"/>
                    <w:bottom w:val="none" w:sz="0" w:space="0" w:color="auto"/>
                    <w:right w:val="none" w:sz="0" w:space="0" w:color="auto"/>
                  </w:divBdr>
                </w:div>
              </w:divsChild>
            </w:div>
            <w:div w:id="1727877666">
              <w:marLeft w:val="0"/>
              <w:marRight w:val="0"/>
              <w:marTop w:val="0"/>
              <w:marBottom w:val="0"/>
              <w:divBdr>
                <w:top w:val="none" w:sz="0" w:space="0" w:color="auto"/>
                <w:left w:val="none" w:sz="0" w:space="0" w:color="auto"/>
                <w:bottom w:val="none" w:sz="0" w:space="0" w:color="auto"/>
                <w:right w:val="none" w:sz="0" w:space="0" w:color="auto"/>
              </w:divBdr>
              <w:divsChild>
                <w:div w:id="1778283781">
                  <w:marLeft w:val="0"/>
                  <w:marRight w:val="0"/>
                  <w:marTop w:val="0"/>
                  <w:marBottom w:val="0"/>
                  <w:divBdr>
                    <w:top w:val="none" w:sz="0" w:space="0" w:color="auto"/>
                    <w:left w:val="none" w:sz="0" w:space="0" w:color="auto"/>
                    <w:bottom w:val="none" w:sz="0" w:space="0" w:color="auto"/>
                    <w:right w:val="none" w:sz="0" w:space="0" w:color="auto"/>
                  </w:divBdr>
                  <w:divsChild>
                    <w:div w:id="723723237">
                      <w:marLeft w:val="0"/>
                      <w:marRight w:val="0"/>
                      <w:marTop w:val="0"/>
                      <w:marBottom w:val="0"/>
                      <w:divBdr>
                        <w:top w:val="none" w:sz="0" w:space="0" w:color="auto"/>
                        <w:left w:val="none" w:sz="0" w:space="0" w:color="auto"/>
                        <w:bottom w:val="none" w:sz="0" w:space="0" w:color="auto"/>
                        <w:right w:val="none" w:sz="0" w:space="0" w:color="auto"/>
                      </w:divBdr>
                    </w:div>
                    <w:div w:id="586768090">
                      <w:marLeft w:val="0"/>
                      <w:marRight w:val="0"/>
                      <w:marTop w:val="0"/>
                      <w:marBottom w:val="0"/>
                      <w:divBdr>
                        <w:top w:val="none" w:sz="0" w:space="0" w:color="auto"/>
                        <w:left w:val="none" w:sz="0" w:space="0" w:color="auto"/>
                        <w:bottom w:val="none" w:sz="0" w:space="0" w:color="auto"/>
                        <w:right w:val="none" w:sz="0" w:space="0" w:color="auto"/>
                      </w:divBdr>
                    </w:div>
                  </w:divsChild>
                </w:div>
                <w:div w:id="1018122622">
                  <w:marLeft w:val="0"/>
                  <w:marRight w:val="0"/>
                  <w:marTop w:val="0"/>
                  <w:marBottom w:val="0"/>
                  <w:divBdr>
                    <w:top w:val="none" w:sz="0" w:space="0" w:color="auto"/>
                    <w:left w:val="none" w:sz="0" w:space="0" w:color="auto"/>
                    <w:bottom w:val="none" w:sz="0" w:space="0" w:color="auto"/>
                    <w:right w:val="none" w:sz="0" w:space="0" w:color="auto"/>
                  </w:divBdr>
                  <w:divsChild>
                    <w:div w:id="2029478882">
                      <w:marLeft w:val="0"/>
                      <w:marRight w:val="0"/>
                      <w:marTop w:val="0"/>
                      <w:marBottom w:val="0"/>
                      <w:divBdr>
                        <w:top w:val="none" w:sz="0" w:space="0" w:color="auto"/>
                        <w:left w:val="none" w:sz="0" w:space="0" w:color="auto"/>
                        <w:bottom w:val="none" w:sz="0" w:space="0" w:color="auto"/>
                        <w:right w:val="none" w:sz="0" w:space="0" w:color="auto"/>
                      </w:divBdr>
                      <w:divsChild>
                        <w:div w:id="1532374863">
                          <w:marLeft w:val="0"/>
                          <w:marRight w:val="0"/>
                          <w:marTop w:val="0"/>
                          <w:marBottom w:val="0"/>
                          <w:divBdr>
                            <w:top w:val="none" w:sz="0" w:space="0" w:color="auto"/>
                            <w:left w:val="none" w:sz="0" w:space="0" w:color="auto"/>
                            <w:bottom w:val="none" w:sz="0" w:space="0" w:color="auto"/>
                            <w:right w:val="none" w:sz="0" w:space="0" w:color="auto"/>
                          </w:divBdr>
                        </w:div>
                      </w:divsChild>
                    </w:div>
                    <w:div w:id="243496642">
                      <w:marLeft w:val="0"/>
                      <w:marRight w:val="0"/>
                      <w:marTop w:val="0"/>
                      <w:marBottom w:val="0"/>
                      <w:divBdr>
                        <w:top w:val="none" w:sz="0" w:space="0" w:color="auto"/>
                        <w:left w:val="none" w:sz="0" w:space="0" w:color="auto"/>
                        <w:bottom w:val="none" w:sz="0" w:space="0" w:color="auto"/>
                        <w:right w:val="none" w:sz="0" w:space="0" w:color="auto"/>
                      </w:divBdr>
                      <w:divsChild>
                        <w:div w:id="79445760">
                          <w:marLeft w:val="0"/>
                          <w:marRight w:val="0"/>
                          <w:marTop w:val="0"/>
                          <w:marBottom w:val="0"/>
                          <w:divBdr>
                            <w:top w:val="none" w:sz="0" w:space="0" w:color="auto"/>
                            <w:left w:val="none" w:sz="0" w:space="0" w:color="auto"/>
                            <w:bottom w:val="none" w:sz="0" w:space="0" w:color="auto"/>
                            <w:right w:val="none" w:sz="0" w:space="0" w:color="auto"/>
                          </w:divBdr>
                        </w:div>
                      </w:divsChild>
                    </w:div>
                    <w:div w:id="1296182520">
                      <w:marLeft w:val="0"/>
                      <w:marRight w:val="0"/>
                      <w:marTop w:val="0"/>
                      <w:marBottom w:val="0"/>
                      <w:divBdr>
                        <w:top w:val="none" w:sz="0" w:space="0" w:color="auto"/>
                        <w:left w:val="none" w:sz="0" w:space="0" w:color="auto"/>
                        <w:bottom w:val="none" w:sz="0" w:space="0" w:color="auto"/>
                        <w:right w:val="none" w:sz="0" w:space="0" w:color="auto"/>
                      </w:divBdr>
                      <w:divsChild>
                        <w:div w:id="607585042">
                          <w:marLeft w:val="0"/>
                          <w:marRight w:val="0"/>
                          <w:marTop w:val="0"/>
                          <w:marBottom w:val="0"/>
                          <w:divBdr>
                            <w:top w:val="none" w:sz="0" w:space="0" w:color="auto"/>
                            <w:left w:val="none" w:sz="0" w:space="0" w:color="auto"/>
                            <w:bottom w:val="none" w:sz="0" w:space="0" w:color="auto"/>
                            <w:right w:val="none" w:sz="0" w:space="0" w:color="auto"/>
                          </w:divBdr>
                        </w:div>
                        <w:div w:id="109629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794905">
                  <w:marLeft w:val="0"/>
                  <w:marRight w:val="0"/>
                  <w:marTop w:val="0"/>
                  <w:marBottom w:val="0"/>
                  <w:divBdr>
                    <w:top w:val="none" w:sz="0" w:space="0" w:color="auto"/>
                    <w:left w:val="none" w:sz="0" w:space="0" w:color="auto"/>
                    <w:bottom w:val="none" w:sz="0" w:space="0" w:color="auto"/>
                    <w:right w:val="none" w:sz="0" w:space="0" w:color="auto"/>
                  </w:divBdr>
                  <w:divsChild>
                    <w:div w:id="2097744456">
                      <w:marLeft w:val="0"/>
                      <w:marRight w:val="0"/>
                      <w:marTop w:val="0"/>
                      <w:marBottom w:val="0"/>
                      <w:divBdr>
                        <w:top w:val="none" w:sz="0" w:space="0" w:color="auto"/>
                        <w:left w:val="none" w:sz="0" w:space="0" w:color="auto"/>
                        <w:bottom w:val="none" w:sz="0" w:space="0" w:color="auto"/>
                        <w:right w:val="none" w:sz="0" w:space="0" w:color="auto"/>
                      </w:divBdr>
                    </w:div>
                    <w:div w:id="5336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79137">
              <w:marLeft w:val="0"/>
              <w:marRight w:val="0"/>
              <w:marTop w:val="0"/>
              <w:marBottom w:val="0"/>
              <w:divBdr>
                <w:top w:val="none" w:sz="0" w:space="0" w:color="auto"/>
                <w:left w:val="none" w:sz="0" w:space="0" w:color="auto"/>
                <w:bottom w:val="none" w:sz="0" w:space="0" w:color="auto"/>
                <w:right w:val="none" w:sz="0" w:space="0" w:color="auto"/>
              </w:divBdr>
              <w:divsChild>
                <w:div w:id="29321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90477">
      <w:bodyDiv w:val="1"/>
      <w:marLeft w:val="0"/>
      <w:marRight w:val="0"/>
      <w:marTop w:val="0"/>
      <w:marBottom w:val="0"/>
      <w:divBdr>
        <w:top w:val="none" w:sz="0" w:space="0" w:color="auto"/>
        <w:left w:val="none" w:sz="0" w:space="0" w:color="auto"/>
        <w:bottom w:val="none" w:sz="0" w:space="0" w:color="auto"/>
        <w:right w:val="none" w:sz="0" w:space="0" w:color="auto"/>
      </w:divBdr>
      <w:divsChild>
        <w:div w:id="116725981">
          <w:marLeft w:val="0"/>
          <w:marRight w:val="0"/>
          <w:marTop w:val="0"/>
          <w:marBottom w:val="0"/>
          <w:divBdr>
            <w:top w:val="none" w:sz="0" w:space="0" w:color="auto"/>
            <w:left w:val="none" w:sz="0" w:space="0" w:color="auto"/>
            <w:bottom w:val="none" w:sz="0" w:space="0" w:color="auto"/>
            <w:right w:val="none" w:sz="0" w:space="0" w:color="auto"/>
          </w:divBdr>
          <w:divsChild>
            <w:div w:id="1602494683">
              <w:marLeft w:val="0"/>
              <w:marRight w:val="0"/>
              <w:marTop w:val="0"/>
              <w:marBottom w:val="0"/>
              <w:divBdr>
                <w:top w:val="none" w:sz="0" w:space="0" w:color="auto"/>
                <w:left w:val="none" w:sz="0" w:space="0" w:color="auto"/>
                <w:bottom w:val="none" w:sz="0" w:space="0" w:color="auto"/>
                <w:right w:val="none" w:sz="0" w:space="0" w:color="auto"/>
              </w:divBdr>
              <w:divsChild>
                <w:div w:id="213123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248818">
      <w:bodyDiv w:val="1"/>
      <w:marLeft w:val="0"/>
      <w:marRight w:val="0"/>
      <w:marTop w:val="0"/>
      <w:marBottom w:val="0"/>
      <w:divBdr>
        <w:top w:val="none" w:sz="0" w:space="0" w:color="auto"/>
        <w:left w:val="none" w:sz="0" w:space="0" w:color="auto"/>
        <w:bottom w:val="none" w:sz="0" w:space="0" w:color="auto"/>
        <w:right w:val="none" w:sz="0" w:space="0" w:color="auto"/>
      </w:divBdr>
      <w:divsChild>
        <w:div w:id="1151367279">
          <w:marLeft w:val="0"/>
          <w:marRight w:val="0"/>
          <w:marTop w:val="0"/>
          <w:marBottom w:val="0"/>
          <w:divBdr>
            <w:top w:val="none" w:sz="0" w:space="0" w:color="auto"/>
            <w:left w:val="none" w:sz="0" w:space="0" w:color="auto"/>
            <w:bottom w:val="none" w:sz="0" w:space="0" w:color="auto"/>
            <w:right w:val="none" w:sz="0" w:space="0" w:color="auto"/>
          </w:divBdr>
          <w:divsChild>
            <w:div w:id="483621111">
              <w:marLeft w:val="0"/>
              <w:marRight w:val="0"/>
              <w:marTop w:val="0"/>
              <w:marBottom w:val="0"/>
              <w:divBdr>
                <w:top w:val="none" w:sz="0" w:space="0" w:color="auto"/>
                <w:left w:val="none" w:sz="0" w:space="0" w:color="auto"/>
                <w:bottom w:val="none" w:sz="0" w:space="0" w:color="auto"/>
                <w:right w:val="none" w:sz="0" w:space="0" w:color="auto"/>
              </w:divBdr>
              <w:divsChild>
                <w:div w:id="207650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881798">
      <w:bodyDiv w:val="1"/>
      <w:marLeft w:val="0"/>
      <w:marRight w:val="0"/>
      <w:marTop w:val="0"/>
      <w:marBottom w:val="0"/>
      <w:divBdr>
        <w:top w:val="none" w:sz="0" w:space="0" w:color="auto"/>
        <w:left w:val="none" w:sz="0" w:space="0" w:color="auto"/>
        <w:bottom w:val="none" w:sz="0" w:space="0" w:color="auto"/>
        <w:right w:val="none" w:sz="0" w:space="0" w:color="auto"/>
      </w:divBdr>
      <w:divsChild>
        <w:div w:id="293826621">
          <w:marLeft w:val="0"/>
          <w:marRight w:val="0"/>
          <w:marTop w:val="0"/>
          <w:marBottom w:val="0"/>
          <w:divBdr>
            <w:top w:val="none" w:sz="0" w:space="0" w:color="auto"/>
            <w:left w:val="none" w:sz="0" w:space="0" w:color="auto"/>
            <w:bottom w:val="none" w:sz="0" w:space="0" w:color="auto"/>
            <w:right w:val="none" w:sz="0" w:space="0" w:color="auto"/>
          </w:divBdr>
          <w:divsChild>
            <w:div w:id="189728595">
              <w:marLeft w:val="0"/>
              <w:marRight w:val="0"/>
              <w:marTop w:val="0"/>
              <w:marBottom w:val="0"/>
              <w:divBdr>
                <w:top w:val="none" w:sz="0" w:space="0" w:color="auto"/>
                <w:left w:val="none" w:sz="0" w:space="0" w:color="auto"/>
                <w:bottom w:val="none" w:sz="0" w:space="0" w:color="auto"/>
                <w:right w:val="none" w:sz="0" w:space="0" w:color="auto"/>
              </w:divBdr>
              <w:divsChild>
                <w:div w:id="85106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rrezasetiawan31@gmail.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https://jurnal.peneliti.net/index.php/JIWP" TargetMode="External"/><Relationship Id="rId2" Type="http://schemas.openxmlformats.org/officeDocument/2006/relationships/hyperlink" Target="https://doi.org/10.5281/zenodo.12803775" TargetMode="External"/><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xmSv/7neYFYf5nbkoGVb5ymdC2Q==">AMUW2mX9OtpwmsvnLTuHMsedvGujfWtzlI0pj6BsEensCUQjWbYF8YJq9kcc8g4NjYaYZohC3qd0Oyr1brCCA01RaCPmImFgl9kje3DPwWTlSjhmjQ/iqlDautUlS0RhGwI+bi+82v8c</go:docsCustomData>
</go:gDocsCustomXmlDataStorage>
</file>

<file path=customXml/itemProps1.xml><?xml version="1.0" encoding="utf-8"?>
<ds:datastoreItem xmlns:ds="http://schemas.openxmlformats.org/officeDocument/2006/customXml" ds:itemID="{9EA42639-F40B-4D62-B66C-FA17880F6FC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9</Pages>
  <Words>5073</Words>
  <Characters>28920</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Leoanova</dc:creator>
  <cp:lastModifiedBy>Asus 2023</cp:lastModifiedBy>
  <cp:revision>10</cp:revision>
  <dcterms:created xsi:type="dcterms:W3CDTF">2023-10-12T15:17:00Z</dcterms:created>
  <dcterms:modified xsi:type="dcterms:W3CDTF">2024-07-24T05:46:00Z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